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5B4C8" w14:textId="4D4C70FA" w:rsidR="00B80F62" w:rsidRPr="00FB4B7C" w:rsidRDefault="00B80F62" w:rsidP="00887E93">
      <w:pPr>
        <w:pStyle w:val="Heading3"/>
        <w:spacing w:after="240"/>
        <w:rPr>
          <w:rFonts w:ascii="Arial" w:hAnsi="Arial" w:cs="Arial"/>
          <w:b w:val="0"/>
          <w:bCs/>
          <w:color w:val="1F3864" w:themeColor="accent1" w:themeShade="80"/>
          <w:sz w:val="28"/>
          <w:szCs w:val="28"/>
        </w:rPr>
      </w:pPr>
      <w:r w:rsidRPr="00FB4B7C">
        <w:rPr>
          <w:rFonts w:ascii="Arial" w:hAnsi="Arial" w:cs="Arial"/>
          <w:color w:val="1F3864" w:themeColor="accent1" w:themeShade="80"/>
          <w:sz w:val="28"/>
          <w:szCs w:val="28"/>
        </w:rPr>
        <w:t>Telemonitoring In Long-Term Conditions</w:t>
      </w:r>
      <w:r w:rsidR="000E504A">
        <w:rPr>
          <w:rFonts w:ascii="Arial" w:hAnsi="Arial" w:cs="Arial"/>
          <w:color w:val="1F3864" w:themeColor="accent1" w:themeShade="80"/>
          <w:sz w:val="28"/>
          <w:szCs w:val="28"/>
        </w:rPr>
        <w:t xml:space="preserve">: Evidence Summary </w:t>
      </w:r>
    </w:p>
    <w:p w14:paraId="4EDE335C" w14:textId="4CFF353A" w:rsidR="007B12D5" w:rsidRPr="00B66C33" w:rsidRDefault="007B12D5" w:rsidP="007B12D5">
      <w:pPr>
        <w:rPr>
          <w:rFonts w:ascii="Arial" w:hAnsi="Arial" w:cs="Arial"/>
          <w:color w:val="1F3864" w:themeColor="accent1" w:themeShade="80"/>
          <w:sz w:val="24"/>
          <w:szCs w:val="24"/>
        </w:rPr>
      </w:pPr>
      <w:r w:rsidRPr="00B66C33">
        <w:rPr>
          <w:rFonts w:ascii="Arial" w:hAnsi="Arial" w:cs="Arial"/>
          <w:color w:val="1F3864" w:themeColor="accent1" w:themeShade="80"/>
          <w:sz w:val="24"/>
          <w:szCs w:val="24"/>
        </w:rPr>
        <w:t xml:space="preserve">Professor Brian McKinstry, Emeritus Professor of Primary Care e-Health, University of Edinburgh. </w:t>
      </w:r>
    </w:p>
    <w:p w14:paraId="08ABC170" w14:textId="0FE31CDB" w:rsidR="00B80F62" w:rsidRPr="00B66C33" w:rsidRDefault="00254A15" w:rsidP="00887E93">
      <w:pPr>
        <w:pStyle w:val="Heading3"/>
        <w:spacing w:after="240"/>
        <w:rPr>
          <w:rFonts w:ascii="Arial" w:hAnsi="Arial" w:cs="Arial"/>
          <w:b w:val="0"/>
          <w:bCs/>
          <w:color w:val="1F3864" w:themeColor="accent1" w:themeShade="80"/>
          <w:sz w:val="24"/>
        </w:rPr>
      </w:pPr>
      <w:r w:rsidRPr="00B66C33">
        <w:rPr>
          <w:rFonts w:ascii="Arial" w:hAnsi="Arial" w:cs="Arial"/>
          <w:b w:val="0"/>
          <w:bCs/>
          <w:color w:val="1F3864" w:themeColor="accent1" w:themeShade="80"/>
          <w:sz w:val="24"/>
        </w:rPr>
        <w:t xml:space="preserve">The following is a </w:t>
      </w:r>
      <w:r w:rsidR="002753A5" w:rsidRPr="00B66C33">
        <w:rPr>
          <w:rFonts w:ascii="Arial" w:hAnsi="Arial" w:cs="Arial"/>
          <w:b w:val="0"/>
          <w:bCs/>
          <w:color w:val="1F3864" w:themeColor="accent1" w:themeShade="80"/>
          <w:sz w:val="24"/>
        </w:rPr>
        <w:t>high-level</w:t>
      </w:r>
      <w:r w:rsidRPr="00B66C33">
        <w:rPr>
          <w:rFonts w:ascii="Arial" w:hAnsi="Arial" w:cs="Arial"/>
          <w:b w:val="0"/>
          <w:bCs/>
          <w:color w:val="1F3864" w:themeColor="accent1" w:themeShade="80"/>
          <w:sz w:val="24"/>
        </w:rPr>
        <w:t xml:space="preserve"> review conducted for the Virtual Capacity Group </w:t>
      </w:r>
      <w:r w:rsidR="00A90AE7">
        <w:rPr>
          <w:rFonts w:ascii="Arial" w:hAnsi="Arial" w:cs="Arial"/>
          <w:b w:val="0"/>
          <w:bCs/>
          <w:color w:val="1F3864" w:themeColor="accent1" w:themeShade="80"/>
          <w:sz w:val="24"/>
        </w:rPr>
        <w:t xml:space="preserve">(Deputy CMO) </w:t>
      </w:r>
      <w:r w:rsidRPr="00B66C33">
        <w:rPr>
          <w:rFonts w:ascii="Arial" w:hAnsi="Arial" w:cs="Arial"/>
          <w:b w:val="0"/>
          <w:bCs/>
          <w:color w:val="1F3864" w:themeColor="accent1" w:themeShade="80"/>
          <w:sz w:val="24"/>
        </w:rPr>
        <w:t>of the Scottish Government in May 2023. While not a systematic review it is considered to be a fair representation of the current state of the art</w:t>
      </w:r>
      <w:r w:rsidR="002753A5" w:rsidRPr="00B66C33">
        <w:rPr>
          <w:rFonts w:ascii="Arial" w:hAnsi="Arial" w:cs="Arial"/>
          <w:b w:val="0"/>
          <w:bCs/>
          <w:color w:val="1F3864" w:themeColor="accent1" w:themeShade="80"/>
          <w:sz w:val="24"/>
        </w:rPr>
        <w:t xml:space="preserve">. The literature is reviewed regularly and there appears to have been no new research in the last year which changes the conclusions. </w:t>
      </w:r>
    </w:p>
    <w:p w14:paraId="2DD1B723" w14:textId="6CAECAEC" w:rsidR="004A0F3C" w:rsidRPr="00B66C33" w:rsidRDefault="004A0F3C" w:rsidP="00887E93">
      <w:pPr>
        <w:pStyle w:val="Heading3"/>
        <w:spacing w:after="240"/>
        <w:rPr>
          <w:rFonts w:ascii="Arial" w:hAnsi="Arial" w:cs="Arial"/>
          <w:color w:val="1F3864" w:themeColor="accent1" w:themeShade="80"/>
          <w:sz w:val="24"/>
        </w:rPr>
      </w:pPr>
      <w:r w:rsidRPr="00B66C33">
        <w:rPr>
          <w:rFonts w:ascii="Arial" w:hAnsi="Arial" w:cs="Arial"/>
          <w:color w:val="1F3864" w:themeColor="accent1" w:themeShade="80"/>
          <w:sz w:val="24"/>
        </w:rPr>
        <w:t>The problem</w:t>
      </w:r>
    </w:p>
    <w:p w14:paraId="72F9120F" w14:textId="2469BDCB" w:rsidR="004A0F3C" w:rsidRPr="00B66C33" w:rsidRDefault="004A0F3C">
      <w:pPr>
        <w:rPr>
          <w:rFonts w:ascii="Arial" w:hAnsi="Arial" w:cs="Arial"/>
          <w:color w:val="1F3864" w:themeColor="accent1" w:themeShade="80"/>
          <w:sz w:val="24"/>
          <w:szCs w:val="24"/>
        </w:rPr>
      </w:pPr>
      <w:r w:rsidRPr="00B66C33">
        <w:rPr>
          <w:rFonts w:ascii="Arial" w:hAnsi="Arial" w:cs="Arial"/>
          <w:color w:val="1F3864" w:themeColor="accent1" w:themeShade="80"/>
          <w:sz w:val="24"/>
          <w:szCs w:val="24"/>
        </w:rPr>
        <w:t xml:space="preserve"> Currently 17 million people in the UK suffer from some form of long-term condition. Most have more than one. This is set to increase.  Even if resources could be found to increase the numbers of doctors and nurses in primary care (and it is more likely that this will fall) it is clear that current methods of managing these conditions are no longer going to be sufficient.  Self-management has been promoted as a potential solution to this, but the evidence for the effectiveness of self-management alone is not strong. For example, there is some evidence from trials that self-management of high blood pressure (HBP) may be effective in the short term, but not when more rigorous outcomes such as ambulatory blood pressure monitoring are applied. (1) The use of asthma self-management plans is associated with fewer hospital admissions, but plans are often not offered or adhered to in practice. (2) In type 2 diabetes (DM) self-monitoring alone has been found to be associated with increased anxiety and no improvement in HBA1C.(3) Patients left to self-monitor lack confidence in knowing how to respond to abnormal readings and felt abandoned by clinicians.(4) These results have led to the suggestion that self-monitoring supervised at a distance using telehealthcare may be</w:t>
      </w:r>
      <w:r w:rsidR="002F070F" w:rsidRPr="00B66C33">
        <w:rPr>
          <w:rFonts w:ascii="Arial" w:hAnsi="Arial" w:cs="Arial"/>
          <w:color w:val="1F3864" w:themeColor="accent1" w:themeShade="80"/>
          <w:sz w:val="24"/>
          <w:szCs w:val="24"/>
        </w:rPr>
        <w:t xml:space="preserve"> a</w:t>
      </w:r>
      <w:r w:rsidRPr="00B66C33">
        <w:rPr>
          <w:rFonts w:ascii="Arial" w:hAnsi="Arial" w:cs="Arial"/>
          <w:color w:val="1F3864" w:themeColor="accent1" w:themeShade="80"/>
          <w:sz w:val="24"/>
          <w:szCs w:val="24"/>
        </w:rPr>
        <w:t xml:space="preserve"> solution. </w:t>
      </w:r>
    </w:p>
    <w:p w14:paraId="31A45C23" w14:textId="77777777" w:rsidR="004A0F3C" w:rsidRPr="00B66C33" w:rsidRDefault="004A0F3C" w:rsidP="004A0F3C">
      <w:pPr>
        <w:rPr>
          <w:rFonts w:ascii="Arial" w:hAnsi="Arial" w:cs="Arial"/>
          <w:b/>
          <w:bCs/>
          <w:color w:val="1F3864" w:themeColor="accent1" w:themeShade="80"/>
          <w:sz w:val="24"/>
          <w:szCs w:val="24"/>
        </w:rPr>
      </w:pPr>
      <w:r w:rsidRPr="00B66C33">
        <w:rPr>
          <w:rFonts w:ascii="Arial" w:hAnsi="Arial" w:cs="Arial"/>
          <w:b/>
          <w:bCs/>
          <w:color w:val="1F3864" w:themeColor="accent1" w:themeShade="80"/>
          <w:sz w:val="24"/>
          <w:szCs w:val="24"/>
        </w:rPr>
        <w:t>Why use telemonitoring?</w:t>
      </w:r>
    </w:p>
    <w:p w14:paraId="096F8083" w14:textId="198592A6" w:rsidR="004A0F3C" w:rsidRPr="00B66C33" w:rsidRDefault="004A0F3C" w:rsidP="004A0F3C">
      <w:pPr>
        <w:rPr>
          <w:rFonts w:ascii="Arial" w:hAnsi="Arial" w:cs="Arial"/>
          <w:color w:val="1F3864" w:themeColor="accent1" w:themeShade="80"/>
          <w:sz w:val="24"/>
          <w:szCs w:val="24"/>
        </w:rPr>
      </w:pPr>
      <w:r w:rsidRPr="00B66C33">
        <w:rPr>
          <w:rFonts w:ascii="Arial" w:hAnsi="Arial" w:cs="Arial"/>
          <w:color w:val="1F3864" w:themeColor="accent1" w:themeShade="80"/>
          <w:sz w:val="24"/>
          <w:szCs w:val="24"/>
        </w:rPr>
        <w:t xml:space="preserve">Underlying theory: </w:t>
      </w:r>
      <w:r w:rsidR="002F070F" w:rsidRPr="00B66C33">
        <w:rPr>
          <w:rFonts w:ascii="Arial" w:hAnsi="Arial" w:cs="Arial"/>
          <w:color w:val="1F3864" w:themeColor="accent1" w:themeShade="80"/>
          <w:sz w:val="24"/>
          <w:szCs w:val="24"/>
        </w:rPr>
        <w:t>Telemonitoring</w:t>
      </w:r>
      <w:r w:rsidRPr="00B66C33">
        <w:rPr>
          <w:rFonts w:ascii="Arial" w:hAnsi="Arial" w:cs="Arial"/>
          <w:color w:val="1F3864" w:themeColor="accent1" w:themeShade="80"/>
          <w:sz w:val="24"/>
          <w:szCs w:val="24"/>
        </w:rPr>
        <w:t xml:space="preserve"> will save time for clinicians and patients; It will result in better clinical outcomes; it will enhance patient confidence in self-management; it will provide better data for management and service planning.</w:t>
      </w:r>
    </w:p>
    <w:p w14:paraId="466A79DE" w14:textId="30267AD8" w:rsidR="004A0F3C" w:rsidRPr="00B66C33" w:rsidRDefault="004A0F3C">
      <w:pPr>
        <w:rPr>
          <w:rFonts w:ascii="Arial" w:hAnsi="Arial" w:cs="Arial"/>
          <w:b/>
          <w:bCs/>
          <w:color w:val="1F3864" w:themeColor="accent1" w:themeShade="80"/>
          <w:sz w:val="24"/>
          <w:szCs w:val="24"/>
        </w:rPr>
      </w:pPr>
      <w:r w:rsidRPr="00B66C33">
        <w:rPr>
          <w:rFonts w:ascii="Arial" w:hAnsi="Arial" w:cs="Arial"/>
          <w:b/>
          <w:bCs/>
          <w:color w:val="1F3864" w:themeColor="accent1" w:themeShade="80"/>
          <w:sz w:val="24"/>
          <w:szCs w:val="24"/>
        </w:rPr>
        <w:t>What is the evidence?</w:t>
      </w:r>
    </w:p>
    <w:p w14:paraId="7ACE5C11" w14:textId="0D369CA0" w:rsidR="00D920D4" w:rsidRPr="00B66C33" w:rsidRDefault="004A0F3C">
      <w:pPr>
        <w:rPr>
          <w:rFonts w:ascii="Arial" w:hAnsi="Arial" w:cs="Arial"/>
          <w:color w:val="1F3864" w:themeColor="accent1" w:themeShade="80"/>
          <w:sz w:val="24"/>
          <w:szCs w:val="24"/>
        </w:rPr>
      </w:pPr>
      <w:r w:rsidRPr="00B66C33">
        <w:rPr>
          <w:rFonts w:ascii="Arial" w:hAnsi="Arial" w:cs="Arial"/>
          <w:color w:val="1F3864" w:themeColor="accent1" w:themeShade="80"/>
          <w:sz w:val="24"/>
          <w:szCs w:val="24"/>
        </w:rPr>
        <w:t>Evidence from randomised controlled trials (RCT) has been slowly building over the years, much of it from Scotland, which has confirmed the efficacy of telehealthcare in the management of some conditions (HBP, DM, and to an extent congestive heart failure (CCF))</w:t>
      </w:r>
      <w:r w:rsidR="00D920D4" w:rsidRPr="00B66C33">
        <w:rPr>
          <w:rFonts w:ascii="Arial" w:hAnsi="Arial" w:cs="Arial"/>
          <w:color w:val="1F3864" w:themeColor="accent1" w:themeShade="80"/>
          <w:sz w:val="24"/>
          <w:szCs w:val="24"/>
        </w:rPr>
        <w:t>. However, for others the traditional approach of relatively intensive remote clinician monitoring has not shown additional benefit over usual care</w:t>
      </w:r>
      <w:r w:rsidRPr="00B66C33">
        <w:rPr>
          <w:rFonts w:ascii="Arial" w:hAnsi="Arial" w:cs="Arial"/>
          <w:color w:val="1F3864" w:themeColor="accent1" w:themeShade="80"/>
          <w:sz w:val="24"/>
          <w:szCs w:val="24"/>
        </w:rPr>
        <w:t>(chronic obstructive pulmonary disease (COPD), asthma)</w:t>
      </w:r>
      <w:r w:rsidR="00D920D4" w:rsidRPr="00B66C33">
        <w:rPr>
          <w:rFonts w:ascii="Arial" w:hAnsi="Arial" w:cs="Arial"/>
          <w:color w:val="1F3864" w:themeColor="accent1" w:themeShade="80"/>
          <w:sz w:val="24"/>
          <w:szCs w:val="24"/>
        </w:rPr>
        <w:t xml:space="preserve"> and newer ‘light-touch’ models based around self-management are under explorations.</w:t>
      </w:r>
    </w:p>
    <w:p w14:paraId="015CC504" w14:textId="7F732C21" w:rsidR="0024072A" w:rsidRPr="00B66C33" w:rsidRDefault="00D920D4">
      <w:pPr>
        <w:rPr>
          <w:rFonts w:ascii="Arial" w:hAnsi="Arial" w:cs="Arial"/>
          <w:color w:val="1F3864" w:themeColor="accent1" w:themeShade="80"/>
          <w:sz w:val="24"/>
          <w:szCs w:val="24"/>
        </w:rPr>
      </w:pPr>
      <w:r w:rsidRPr="00B66C33">
        <w:rPr>
          <w:rFonts w:ascii="Arial" w:hAnsi="Arial" w:cs="Arial"/>
          <w:color w:val="1F3864" w:themeColor="accent1" w:themeShade="80"/>
          <w:sz w:val="24"/>
          <w:szCs w:val="24"/>
        </w:rPr>
        <w:lastRenderedPageBreak/>
        <w:t>D</w:t>
      </w:r>
      <w:r w:rsidR="004A0F3C" w:rsidRPr="00B66C33">
        <w:rPr>
          <w:rFonts w:ascii="Arial" w:hAnsi="Arial" w:cs="Arial"/>
          <w:color w:val="1F3864" w:themeColor="accent1" w:themeShade="80"/>
          <w:sz w:val="24"/>
          <w:szCs w:val="24"/>
        </w:rPr>
        <w:t>emonstrating cost-effectiveness has been more problematic and with a few exceptions has relied on modelling based on assumptions of better outcomes rather than immediate reductions in workload. This paper summarises the evidence for the most common long-term conditions in which telehealthcare has been applied (COPD, HBP, CCF, DM, Asthma) and identifies the challenges still to be overcome.</w:t>
      </w:r>
      <w:r w:rsidR="0024072A" w:rsidRPr="00B66C33">
        <w:rPr>
          <w:rFonts w:ascii="Arial" w:hAnsi="Arial" w:cs="Arial"/>
          <w:color w:val="1F3864" w:themeColor="accent1" w:themeShade="80"/>
          <w:sz w:val="24"/>
          <w:szCs w:val="24"/>
        </w:rPr>
        <w:t xml:space="preserve"> </w:t>
      </w:r>
    </w:p>
    <w:p w14:paraId="71447443" w14:textId="63081BE3" w:rsidR="0024072A" w:rsidRPr="00B66C33" w:rsidRDefault="0024072A">
      <w:pPr>
        <w:rPr>
          <w:rFonts w:ascii="Arial" w:hAnsi="Arial" w:cs="Arial"/>
          <w:b/>
          <w:bCs/>
          <w:color w:val="1F3864" w:themeColor="accent1" w:themeShade="80"/>
          <w:sz w:val="24"/>
          <w:szCs w:val="24"/>
        </w:rPr>
      </w:pPr>
      <w:r w:rsidRPr="00B66C33">
        <w:rPr>
          <w:rFonts w:ascii="Arial" w:hAnsi="Arial" w:cs="Arial"/>
          <w:b/>
          <w:bCs/>
          <w:color w:val="1F3864" w:themeColor="accent1" w:themeShade="80"/>
          <w:sz w:val="24"/>
          <w:szCs w:val="24"/>
        </w:rPr>
        <w:t>The effect of COVID</w:t>
      </w:r>
      <w:r w:rsidR="007B12D5" w:rsidRPr="00B66C33">
        <w:rPr>
          <w:rFonts w:ascii="Arial" w:hAnsi="Arial" w:cs="Arial"/>
          <w:b/>
          <w:bCs/>
          <w:color w:val="1F3864" w:themeColor="accent1" w:themeShade="80"/>
          <w:sz w:val="24"/>
          <w:szCs w:val="24"/>
        </w:rPr>
        <w:t xml:space="preserve"> and other potential pandemics</w:t>
      </w:r>
    </w:p>
    <w:p w14:paraId="0630E329" w14:textId="6D027471" w:rsidR="004A0F3C" w:rsidRPr="00B66C33" w:rsidRDefault="0024072A">
      <w:pPr>
        <w:rPr>
          <w:rFonts w:ascii="Arial" w:hAnsi="Arial" w:cs="Arial"/>
          <w:color w:val="1F3864" w:themeColor="accent1" w:themeShade="80"/>
          <w:sz w:val="24"/>
          <w:szCs w:val="24"/>
        </w:rPr>
      </w:pPr>
      <w:r w:rsidRPr="00B66C33">
        <w:rPr>
          <w:rFonts w:ascii="Arial" w:hAnsi="Arial" w:cs="Arial"/>
          <w:color w:val="1F3864" w:themeColor="accent1" w:themeShade="80"/>
          <w:sz w:val="24"/>
          <w:szCs w:val="24"/>
        </w:rPr>
        <w:t xml:space="preserve">The COVID pandemic has up-ended many of the assumptions on which the evidence </w:t>
      </w:r>
      <w:r w:rsidR="00001343" w:rsidRPr="00B66C33">
        <w:rPr>
          <w:rFonts w:ascii="Arial" w:hAnsi="Arial" w:cs="Arial"/>
          <w:color w:val="1F3864" w:themeColor="accent1" w:themeShade="80"/>
          <w:sz w:val="24"/>
          <w:szCs w:val="24"/>
        </w:rPr>
        <w:t>i</w:t>
      </w:r>
      <w:r w:rsidRPr="00B66C33">
        <w:rPr>
          <w:rFonts w:ascii="Arial" w:hAnsi="Arial" w:cs="Arial"/>
          <w:color w:val="1F3864" w:themeColor="accent1" w:themeShade="80"/>
          <w:sz w:val="24"/>
          <w:szCs w:val="24"/>
        </w:rPr>
        <w:t>s based. Prior to vaccination there was little alternative to telemonitoring for many vulnerable patients</w:t>
      </w:r>
      <w:r w:rsidR="008367C4" w:rsidRPr="00B66C33">
        <w:rPr>
          <w:rFonts w:ascii="Arial" w:hAnsi="Arial" w:cs="Arial"/>
          <w:color w:val="1F3864" w:themeColor="accent1" w:themeShade="80"/>
          <w:sz w:val="24"/>
          <w:szCs w:val="24"/>
        </w:rPr>
        <w:t xml:space="preserve"> to manage their lon</w:t>
      </w:r>
      <w:r w:rsidR="00373905" w:rsidRPr="00B66C33">
        <w:rPr>
          <w:rFonts w:ascii="Arial" w:hAnsi="Arial" w:cs="Arial"/>
          <w:color w:val="1F3864" w:themeColor="accent1" w:themeShade="80"/>
          <w:sz w:val="24"/>
          <w:szCs w:val="24"/>
        </w:rPr>
        <w:t>g</w:t>
      </w:r>
      <w:r w:rsidR="008367C4" w:rsidRPr="00B66C33">
        <w:rPr>
          <w:rFonts w:ascii="Arial" w:hAnsi="Arial" w:cs="Arial"/>
          <w:color w:val="1F3864" w:themeColor="accent1" w:themeShade="80"/>
          <w:sz w:val="24"/>
          <w:szCs w:val="24"/>
        </w:rPr>
        <w:t>-term conditions</w:t>
      </w:r>
      <w:r w:rsidR="00001343" w:rsidRPr="00B66C33">
        <w:rPr>
          <w:rFonts w:ascii="Arial" w:hAnsi="Arial" w:cs="Arial"/>
          <w:color w:val="1F3864" w:themeColor="accent1" w:themeShade="80"/>
          <w:sz w:val="24"/>
          <w:szCs w:val="24"/>
        </w:rPr>
        <w:t xml:space="preserve">. Some patients will remain vulnerable because of immunosuppression and failure to immunise and all patients will be at risk of a sudden change in </w:t>
      </w:r>
      <w:r w:rsidR="008367C4" w:rsidRPr="00B66C33">
        <w:rPr>
          <w:rFonts w:ascii="Arial" w:hAnsi="Arial" w:cs="Arial"/>
          <w:color w:val="1F3864" w:themeColor="accent1" w:themeShade="80"/>
          <w:sz w:val="24"/>
          <w:szCs w:val="24"/>
        </w:rPr>
        <w:t>virulence</w:t>
      </w:r>
      <w:r w:rsidR="00001343" w:rsidRPr="00B66C33">
        <w:rPr>
          <w:rFonts w:ascii="Arial" w:hAnsi="Arial" w:cs="Arial"/>
          <w:color w:val="1F3864" w:themeColor="accent1" w:themeShade="80"/>
          <w:sz w:val="24"/>
          <w:szCs w:val="24"/>
        </w:rPr>
        <w:t xml:space="preserve"> or infectivity of the virus. It is important therefore not ‘write off’ some of the telemonitoring approaches described below as likely to be ineffective as they may be required by some patients or if the overall context changes. </w:t>
      </w:r>
    </w:p>
    <w:p w14:paraId="38FD4A2A" w14:textId="230CB2DC" w:rsidR="004A0F3C" w:rsidRPr="00B66C33" w:rsidRDefault="007B12D5">
      <w:pPr>
        <w:rPr>
          <w:rFonts w:ascii="Arial" w:hAnsi="Arial" w:cs="Arial"/>
          <w:b/>
          <w:bCs/>
          <w:color w:val="1F3864" w:themeColor="accent1" w:themeShade="80"/>
          <w:sz w:val="24"/>
          <w:szCs w:val="24"/>
        </w:rPr>
      </w:pPr>
      <w:r w:rsidRPr="00B66C33">
        <w:rPr>
          <w:rFonts w:ascii="Arial" w:hAnsi="Arial" w:cs="Arial"/>
          <w:b/>
          <w:bCs/>
          <w:color w:val="1F3864" w:themeColor="accent1" w:themeShade="80"/>
          <w:sz w:val="24"/>
          <w:szCs w:val="24"/>
        </w:rPr>
        <w:br/>
      </w:r>
      <w:r w:rsidRPr="00B66C33">
        <w:rPr>
          <w:rFonts w:ascii="Arial" w:hAnsi="Arial" w:cs="Arial"/>
          <w:b/>
          <w:bCs/>
          <w:color w:val="1F3864" w:themeColor="accent1" w:themeShade="80"/>
          <w:sz w:val="24"/>
          <w:szCs w:val="24"/>
        </w:rPr>
        <w:br/>
      </w:r>
      <w:r w:rsidR="004A0F3C" w:rsidRPr="00B66C33">
        <w:rPr>
          <w:rFonts w:ascii="Arial" w:hAnsi="Arial" w:cs="Arial"/>
          <w:b/>
          <w:bCs/>
          <w:color w:val="1F3864" w:themeColor="accent1" w:themeShade="80"/>
          <w:sz w:val="24"/>
          <w:szCs w:val="24"/>
        </w:rPr>
        <w:t>Strong evidence of effectiveness</w:t>
      </w:r>
    </w:p>
    <w:p w14:paraId="512C0C50" w14:textId="77777777" w:rsidR="004A0F3C" w:rsidRPr="00B66C33" w:rsidRDefault="004A0F3C" w:rsidP="004A0F3C">
      <w:pPr>
        <w:rPr>
          <w:rFonts w:ascii="Arial" w:hAnsi="Arial" w:cs="Arial"/>
          <w:b/>
          <w:color w:val="1F3864" w:themeColor="accent1" w:themeShade="80"/>
          <w:sz w:val="24"/>
          <w:szCs w:val="24"/>
        </w:rPr>
      </w:pPr>
      <w:r w:rsidRPr="00B66C33">
        <w:rPr>
          <w:rFonts w:ascii="Arial" w:hAnsi="Arial" w:cs="Arial"/>
          <w:b/>
          <w:color w:val="1F3864" w:themeColor="accent1" w:themeShade="80"/>
          <w:sz w:val="24"/>
          <w:szCs w:val="24"/>
        </w:rPr>
        <w:t>High Blood Pressure (HBP)</w:t>
      </w:r>
    </w:p>
    <w:p w14:paraId="21E1464F" w14:textId="3436E52A" w:rsidR="004A0F3C" w:rsidRPr="00B66C33" w:rsidRDefault="004A0F3C" w:rsidP="004A0F3C">
      <w:pPr>
        <w:rPr>
          <w:rFonts w:ascii="Arial" w:hAnsi="Arial" w:cs="Arial"/>
          <w:color w:val="1F3864" w:themeColor="accent1" w:themeShade="80"/>
          <w:sz w:val="24"/>
          <w:szCs w:val="24"/>
        </w:rPr>
      </w:pPr>
      <w:r w:rsidRPr="00B66C33">
        <w:rPr>
          <w:rFonts w:ascii="Arial" w:hAnsi="Arial" w:cs="Arial"/>
          <w:color w:val="1F3864" w:themeColor="accent1" w:themeShade="80"/>
          <w:sz w:val="24"/>
          <w:szCs w:val="24"/>
        </w:rPr>
        <w:t>In Scotland 1.2 million appointments are taken up for BP management alone (with many more appointments where BP is measured).(</w:t>
      </w:r>
      <w:r w:rsidR="00496D1E" w:rsidRPr="00B66C33">
        <w:rPr>
          <w:rFonts w:ascii="Arial" w:hAnsi="Arial" w:cs="Arial"/>
          <w:color w:val="1F3864" w:themeColor="accent1" w:themeShade="80"/>
          <w:sz w:val="24"/>
          <w:szCs w:val="24"/>
        </w:rPr>
        <w:t>5</w:t>
      </w:r>
      <w:r w:rsidRPr="00B66C33">
        <w:rPr>
          <w:rFonts w:ascii="Arial" w:hAnsi="Arial" w:cs="Arial"/>
          <w:color w:val="1F3864" w:themeColor="accent1" w:themeShade="80"/>
          <w:sz w:val="24"/>
          <w:szCs w:val="24"/>
        </w:rPr>
        <w:t>) Home measured BPs are more predictive of outcomes than those carried out in the surgery and are less prone to ‘white-coat’ effects. While self-monitoring of blood pressure, on its own, is associated with a short-term reduction in blood pressure, self-monitoring with clinician oversight using telemonitoring is more effective.(</w:t>
      </w:r>
      <w:r w:rsidR="00496D1E" w:rsidRPr="00B66C33">
        <w:rPr>
          <w:rFonts w:ascii="Arial" w:hAnsi="Arial" w:cs="Arial"/>
          <w:color w:val="1F3864" w:themeColor="accent1" w:themeShade="80"/>
          <w:sz w:val="24"/>
          <w:szCs w:val="24"/>
        </w:rPr>
        <w:t>6</w:t>
      </w:r>
      <w:r w:rsidRPr="00B66C33">
        <w:rPr>
          <w:rFonts w:ascii="Arial" w:hAnsi="Arial" w:cs="Arial"/>
          <w:color w:val="1F3864" w:themeColor="accent1" w:themeShade="80"/>
          <w:sz w:val="24"/>
          <w:szCs w:val="24"/>
        </w:rPr>
        <w:t xml:space="preserve">) </w:t>
      </w:r>
    </w:p>
    <w:p w14:paraId="1C1649EC" w14:textId="064389A8" w:rsidR="002725C8" w:rsidRPr="00B66C33" w:rsidRDefault="004A0F3C" w:rsidP="002725C8">
      <w:pPr>
        <w:rPr>
          <w:rFonts w:ascii="Arial" w:hAnsi="Arial" w:cs="Arial"/>
          <w:color w:val="1F3864" w:themeColor="accent1" w:themeShade="80"/>
          <w:sz w:val="24"/>
          <w:szCs w:val="24"/>
        </w:rPr>
      </w:pPr>
      <w:r w:rsidRPr="00B66C33">
        <w:rPr>
          <w:rFonts w:ascii="Arial" w:hAnsi="Arial" w:cs="Arial"/>
          <w:color w:val="1F3864" w:themeColor="accent1" w:themeShade="80"/>
          <w:sz w:val="24"/>
          <w:szCs w:val="24"/>
        </w:rPr>
        <w:t>There is very strong evidence for the effectiveness of telemonitoring for HBP. A recent meta-analysis of 24 RCTs and 8292 patients, (</w:t>
      </w:r>
      <w:r w:rsidR="00496D1E" w:rsidRPr="00B66C33">
        <w:rPr>
          <w:rFonts w:ascii="Arial" w:hAnsi="Arial" w:cs="Arial"/>
          <w:color w:val="1F3864" w:themeColor="accent1" w:themeShade="80"/>
          <w:sz w:val="24"/>
          <w:szCs w:val="24"/>
        </w:rPr>
        <w:t>6</w:t>
      </w:r>
      <w:r w:rsidRPr="00B66C33">
        <w:rPr>
          <w:rFonts w:ascii="Arial" w:hAnsi="Arial" w:cs="Arial"/>
          <w:color w:val="1F3864" w:themeColor="accent1" w:themeShade="80"/>
          <w:sz w:val="24"/>
          <w:szCs w:val="24"/>
        </w:rPr>
        <w:t>) including a large Scottish RCT (</w:t>
      </w:r>
      <w:r w:rsidR="00496D1E" w:rsidRPr="00B66C33">
        <w:rPr>
          <w:rFonts w:ascii="Arial" w:hAnsi="Arial" w:cs="Arial"/>
          <w:color w:val="1F3864" w:themeColor="accent1" w:themeShade="80"/>
          <w:sz w:val="24"/>
          <w:szCs w:val="24"/>
        </w:rPr>
        <w:t>7</w:t>
      </w:r>
      <w:r w:rsidRPr="00B66C33">
        <w:rPr>
          <w:rFonts w:ascii="Arial" w:hAnsi="Arial" w:cs="Arial"/>
          <w:color w:val="1F3864" w:themeColor="accent1" w:themeShade="80"/>
          <w:sz w:val="24"/>
          <w:szCs w:val="24"/>
        </w:rPr>
        <w:t>), showed that in actively monitored patients there was a mean 6.9mm reduction in systolic BP over the course of one year</w:t>
      </w:r>
      <w:r w:rsidR="002725C8" w:rsidRPr="00B66C33">
        <w:rPr>
          <w:rFonts w:ascii="Arial" w:hAnsi="Arial" w:cs="Arial"/>
          <w:color w:val="1F3864" w:themeColor="accent1" w:themeShade="80"/>
          <w:sz w:val="24"/>
          <w:szCs w:val="24"/>
        </w:rPr>
        <w:t xml:space="preserve"> compared with control</w:t>
      </w:r>
      <w:r w:rsidRPr="00B66C33">
        <w:rPr>
          <w:rFonts w:ascii="Arial" w:hAnsi="Arial" w:cs="Arial"/>
          <w:color w:val="1F3864" w:themeColor="accent1" w:themeShade="80"/>
          <w:sz w:val="24"/>
          <w:szCs w:val="24"/>
        </w:rPr>
        <w:t xml:space="preserve">. Such a reduction would result in a &gt;20% lowering in the incidence of stroke and 15% reduction in myocardial infarction if sustained for 5 years.  </w:t>
      </w:r>
      <w:r w:rsidR="00221AB8" w:rsidRPr="00B66C33">
        <w:rPr>
          <w:rFonts w:ascii="Arial" w:hAnsi="Arial" w:cs="Arial"/>
          <w:color w:val="1F3864" w:themeColor="accent1" w:themeShade="80"/>
          <w:sz w:val="24"/>
          <w:szCs w:val="24"/>
        </w:rPr>
        <w:t>While RCT results are not necessarily sustained in a normal clinical setting,</w:t>
      </w:r>
      <w:r w:rsidR="002725C8" w:rsidRPr="00B66C33">
        <w:rPr>
          <w:rFonts w:ascii="Arial" w:eastAsia="Times New Roman" w:hAnsi="Arial" w:cs="Arial"/>
          <w:color w:val="1F3864" w:themeColor="accent1" w:themeShade="80"/>
          <w:sz w:val="24"/>
          <w:szCs w:val="24"/>
        </w:rPr>
        <w:t xml:space="preserve"> </w:t>
      </w:r>
      <w:r w:rsidR="00221AB8" w:rsidRPr="00B66C33">
        <w:rPr>
          <w:rFonts w:ascii="Arial" w:eastAsia="Times New Roman" w:hAnsi="Arial" w:cs="Arial"/>
          <w:color w:val="1F3864" w:themeColor="accent1" w:themeShade="80"/>
          <w:sz w:val="24"/>
          <w:szCs w:val="24"/>
        </w:rPr>
        <w:t>an</w:t>
      </w:r>
      <w:r w:rsidR="002725C8" w:rsidRPr="00B66C33">
        <w:rPr>
          <w:rFonts w:ascii="Arial" w:eastAsia="Times New Roman" w:hAnsi="Arial" w:cs="Arial"/>
          <w:color w:val="1F3864" w:themeColor="accent1" w:themeShade="80"/>
          <w:sz w:val="24"/>
          <w:szCs w:val="24"/>
        </w:rPr>
        <w:t xml:space="preserve"> implementation study in routine  practice from Scotland demonstrated that the </w:t>
      </w:r>
      <w:r w:rsidR="00221AB8" w:rsidRPr="00B66C33">
        <w:rPr>
          <w:rFonts w:ascii="Arial" w:eastAsia="Times New Roman" w:hAnsi="Arial" w:cs="Arial"/>
          <w:color w:val="1F3864" w:themeColor="accent1" w:themeShade="80"/>
          <w:sz w:val="24"/>
          <w:szCs w:val="24"/>
        </w:rPr>
        <w:t>similar falls in BP to those found in the RCTS occurred.</w:t>
      </w:r>
      <w:r w:rsidR="002725C8" w:rsidRPr="00B66C33">
        <w:rPr>
          <w:rFonts w:ascii="Arial" w:eastAsia="Times New Roman" w:hAnsi="Arial" w:cs="Arial"/>
          <w:color w:val="1F3864" w:themeColor="accent1" w:themeShade="80"/>
          <w:sz w:val="24"/>
          <w:szCs w:val="24"/>
        </w:rPr>
        <w:t xml:space="preserve"> </w:t>
      </w:r>
      <w:r w:rsidR="0045068F" w:rsidRPr="00B66C33">
        <w:rPr>
          <w:rFonts w:ascii="Arial" w:eastAsia="Times New Roman" w:hAnsi="Arial" w:cs="Arial"/>
          <w:color w:val="1F3864" w:themeColor="accent1" w:themeShade="80"/>
          <w:sz w:val="24"/>
          <w:szCs w:val="24"/>
        </w:rPr>
        <w:t>(</w:t>
      </w:r>
      <w:r w:rsidR="00496D1E" w:rsidRPr="00B66C33">
        <w:rPr>
          <w:rFonts w:ascii="Arial" w:eastAsia="Times New Roman" w:hAnsi="Arial" w:cs="Arial"/>
          <w:color w:val="1F3864" w:themeColor="accent1" w:themeShade="80"/>
          <w:sz w:val="24"/>
          <w:szCs w:val="24"/>
        </w:rPr>
        <w:t>9</w:t>
      </w:r>
      <w:r w:rsidR="0045068F" w:rsidRPr="00B66C33">
        <w:rPr>
          <w:rFonts w:ascii="Arial" w:eastAsia="Times New Roman" w:hAnsi="Arial" w:cs="Arial"/>
          <w:color w:val="1F3864" w:themeColor="accent1" w:themeShade="80"/>
          <w:sz w:val="24"/>
          <w:szCs w:val="24"/>
        </w:rPr>
        <w:t>)</w:t>
      </w:r>
      <w:r w:rsidR="002725C8" w:rsidRPr="00B66C33">
        <w:rPr>
          <w:rFonts w:ascii="Arial" w:eastAsia="Times New Roman" w:hAnsi="Arial" w:cs="Arial"/>
          <w:color w:val="1F3864" w:themeColor="accent1" w:themeShade="80"/>
          <w:sz w:val="24"/>
          <w:szCs w:val="24"/>
        </w:rPr>
        <w:t xml:space="preserve"> </w:t>
      </w:r>
    </w:p>
    <w:p w14:paraId="552FB5A4" w14:textId="154A0F92" w:rsidR="004A0F3C" w:rsidRPr="00B66C33" w:rsidRDefault="0045068F">
      <w:pPr>
        <w:rPr>
          <w:rFonts w:ascii="Arial" w:hAnsi="Arial" w:cs="Arial"/>
          <w:color w:val="1F3864" w:themeColor="accent1" w:themeShade="80"/>
          <w:sz w:val="24"/>
          <w:szCs w:val="24"/>
        </w:rPr>
      </w:pPr>
      <w:r w:rsidRPr="00B66C33">
        <w:rPr>
          <w:rFonts w:ascii="Arial" w:hAnsi="Arial" w:cs="Arial"/>
          <w:b/>
          <w:bCs/>
          <w:color w:val="1F3864" w:themeColor="accent1" w:themeShade="80"/>
          <w:sz w:val="24"/>
          <w:szCs w:val="24"/>
        </w:rPr>
        <w:t>Cost-effectiveness</w:t>
      </w:r>
      <w:r w:rsidR="00C03C5E" w:rsidRPr="00B66C33">
        <w:rPr>
          <w:rFonts w:ascii="Arial" w:hAnsi="Arial" w:cs="Arial"/>
          <w:color w:val="1F3864" w:themeColor="accent1" w:themeShade="80"/>
          <w:sz w:val="24"/>
          <w:szCs w:val="24"/>
        </w:rPr>
        <w:t xml:space="preserve">: </w:t>
      </w:r>
      <w:r w:rsidR="004A0F3C" w:rsidRPr="00B66C33">
        <w:rPr>
          <w:rFonts w:ascii="Arial" w:hAnsi="Arial" w:cs="Arial"/>
          <w:color w:val="1F3864" w:themeColor="accent1" w:themeShade="80"/>
          <w:sz w:val="24"/>
          <w:szCs w:val="24"/>
        </w:rPr>
        <w:t>As HBP is a symptomless condition, and the incidence of cardiovascular events relatively infrequent during the course of a clinical trial, usual cost-effectiveness calculations to calculate quality adjusted life years (QALYs) are problematic. However, the mean societal and clinical costs in the first 12 months after a stroke have been estimated at £45,409 and £24,003 respectively, (</w:t>
      </w:r>
      <w:r w:rsidR="00496D1E" w:rsidRPr="00B66C33">
        <w:rPr>
          <w:rFonts w:ascii="Arial" w:hAnsi="Arial" w:cs="Arial"/>
          <w:color w:val="1F3864" w:themeColor="accent1" w:themeShade="80"/>
          <w:sz w:val="24"/>
          <w:szCs w:val="24"/>
        </w:rPr>
        <w:t>9</w:t>
      </w:r>
      <w:r w:rsidR="004A0F3C" w:rsidRPr="00B66C33">
        <w:rPr>
          <w:rFonts w:ascii="Arial" w:hAnsi="Arial" w:cs="Arial"/>
          <w:color w:val="1F3864" w:themeColor="accent1" w:themeShade="80"/>
          <w:sz w:val="24"/>
          <w:szCs w:val="24"/>
        </w:rPr>
        <w:t xml:space="preserve">) underlining the potential gains from lowering BP.  A health economic analysis, applying modelling of potential health gains using data from the TASMINH 4 randomised controlled trial, showed that telemonitoring was likely to be cost-effective at a cost of </w:t>
      </w:r>
      <w:r w:rsidR="004A0F3C" w:rsidRPr="00B66C33">
        <w:rPr>
          <w:rFonts w:ascii="Arial" w:hAnsi="Arial" w:cs="Arial"/>
          <w:color w:val="1F3864" w:themeColor="accent1" w:themeShade="80"/>
          <w:sz w:val="24"/>
          <w:szCs w:val="24"/>
          <w:shd w:val="clear" w:color="auto" w:fill="FFFFFF"/>
        </w:rPr>
        <w:t>£17,424 per quality-adjusted life year gained</w:t>
      </w:r>
      <w:r w:rsidR="00E176E8" w:rsidRPr="00B66C33">
        <w:rPr>
          <w:rFonts w:ascii="Arial" w:hAnsi="Arial" w:cs="Arial"/>
          <w:color w:val="1F3864" w:themeColor="accent1" w:themeShade="80"/>
          <w:sz w:val="24"/>
          <w:szCs w:val="24"/>
          <w:shd w:val="clear" w:color="auto" w:fill="FFFFFF"/>
        </w:rPr>
        <w:t xml:space="preserve"> </w:t>
      </w:r>
      <w:r w:rsidR="004A0F3C" w:rsidRPr="00B66C33">
        <w:rPr>
          <w:rFonts w:ascii="Arial" w:hAnsi="Arial" w:cs="Arial"/>
          <w:color w:val="1F3864" w:themeColor="accent1" w:themeShade="80"/>
          <w:sz w:val="24"/>
          <w:szCs w:val="24"/>
          <w:shd w:val="clear" w:color="auto" w:fill="FFFFFF"/>
        </w:rPr>
        <w:t>.(</w:t>
      </w:r>
      <w:r w:rsidR="00496D1E" w:rsidRPr="00B66C33">
        <w:rPr>
          <w:rFonts w:ascii="Arial" w:hAnsi="Arial" w:cs="Arial"/>
          <w:color w:val="1F3864" w:themeColor="accent1" w:themeShade="80"/>
          <w:sz w:val="24"/>
          <w:szCs w:val="24"/>
          <w:shd w:val="clear" w:color="auto" w:fill="FFFFFF"/>
        </w:rPr>
        <w:t>10</w:t>
      </w:r>
      <w:r w:rsidR="004A0F3C" w:rsidRPr="00B66C33">
        <w:rPr>
          <w:rFonts w:ascii="Arial" w:hAnsi="Arial" w:cs="Arial"/>
          <w:color w:val="1F3864" w:themeColor="accent1" w:themeShade="80"/>
          <w:sz w:val="24"/>
          <w:szCs w:val="24"/>
          <w:shd w:val="clear" w:color="auto" w:fill="FFFFFF"/>
        </w:rPr>
        <w:t xml:space="preserve">) </w:t>
      </w:r>
      <w:r w:rsidR="004A0F3C" w:rsidRPr="00B66C33">
        <w:rPr>
          <w:rFonts w:ascii="Arial" w:hAnsi="Arial" w:cs="Arial"/>
          <w:color w:val="1F3864" w:themeColor="accent1" w:themeShade="80"/>
          <w:sz w:val="24"/>
          <w:szCs w:val="24"/>
        </w:rPr>
        <w:t xml:space="preserve">  </w:t>
      </w:r>
      <w:r w:rsidR="004A0F3C" w:rsidRPr="00B66C33">
        <w:rPr>
          <w:rFonts w:ascii="Arial" w:eastAsia="Times New Roman" w:hAnsi="Arial" w:cs="Arial"/>
          <w:color w:val="1F3864" w:themeColor="accent1" w:themeShade="80"/>
          <w:sz w:val="24"/>
          <w:szCs w:val="24"/>
        </w:rPr>
        <w:t xml:space="preserve">A recent RCT of telemonitoring for hypertension from Canada,(17) also concluded that telemonitoring is cost-effective with costs per QALY coming in at C$1929. </w:t>
      </w:r>
      <w:r w:rsidR="002725C8" w:rsidRPr="00B66C33">
        <w:rPr>
          <w:rFonts w:ascii="Arial" w:eastAsia="Times New Roman" w:hAnsi="Arial" w:cs="Arial"/>
          <w:color w:val="1F3864" w:themeColor="accent1" w:themeShade="80"/>
          <w:sz w:val="24"/>
          <w:szCs w:val="24"/>
        </w:rPr>
        <w:t>In the Scottish implementation trial there were large reductions over the course of one year in face-to-face  appointments for continuous monitoring compared with a routine care comparator group (24% v 9%)</w:t>
      </w:r>
      <w:r w:rsidR="00CD1734" w:rsidRPr="00B66C33">
        <w:rPr>
          <w:rFonts w:ascii="Arial" w:eastAsia="Times New Roman" w:hAnsi="Arial" w:cs="Arial"/>
          <w:color w:val="1F3864" w:themeColor="accent1" w:themeShade="80"/>
          <w:sz w:val="24"/>
          <w:szCs w:val="24"/>
        </w:rPr>
        <w:t>. (8)</w:t>
      </w:r>
    </w:p>
    <w:p w14:paraId="1AF06D4B" w14:textId="62A64625" w:rsidR="0045068F" w:rsidRPr="00B66C33" w:rsidRDefault="0045068F">
      <w:pPr>
        <w:rPr>
          <w:rFonts w:ascii="Arial" w:hAnsi="Arial" w:cs="Arial"/>
          <w:b/>
          <w:bCs/>
          <w:color w:val="1F3864" w:themeColor="accent1" w:themeShade="80"/>
          <w:sz w:val="24"/>
          <w:szCs w:val="24"/>
        </w:rPr>
      </w:pPr>
      <w:r w:rsidRPr="00B66C33">
        <w:rPr>
          <w:rFonts w:ascii="Arial" w:hAnsi="Arial" w:cs="Arial"/>
          <w:b/>
          <w:bCs/>
          <w:color w:val="1F3864" w:themeColor="accent1" w:themeShade="80"/>
          <w:sz w:val="24"/>
          <w:szCs w:val="24"/>
        </w:rPr>
        <w:t>VERDICT: The evidence for large scale telemonitoring of HBP is very strong</w:t>
      </w:r>
      <w:r w:rsidR="007B12D5" w:rsidRPr="00B66C33">
        <w:rPr>
          <w:rFonts w:ascii="Arial" w:hAnsi="Arial" w:cs="Arial"/>
          <w:b/>
          <w:bCs/>
          <w:color w:val="1F3864" w:themeColor="accent1" w:themeShade="80"/>
          <w:sz w:val="24"/>
          <w:szCs w:val="24"/>
        </w:rPr>
        <w:t>.</w:t>
      </w:r>
      <w:r w:rsidRPr="00B66C33">
        <w:rPr>
          <w:rFonts w:ascii="Arial" w:hAnsi="Arial" w:cs="Arial"/>
          <w:b/>
          <w:bCs/>
          <w:color w:val="1F3864" w:themeColor="accent1" w:themeShade="80"/>
          <w:sz w:val="24"/>
          <w:szCs w:val="24"/>
        </w:rPr>
        <w:t xml:space="preserve"> </w:t>
      </w:r>
      <w:r w:rsidR="007B12D5" w:rsidRPr="00B66C33">
        <w:rPr>
          <w:rFonts w:ascii="Arial" w:hAnsi="Arial" w:cs="Arial"/>
          <w:b/>
          <w:bCs/>
          <w:color w:val="1F3864" w:themeColor="accent1" w:themeShade="80"/>
          <w:sz w:val="24"/>
          <w:szCs w:val="24"/>
        </w:rPr>
        <w:t xml:space="preserve">It appears to </w:t>
      </w:r>
      <w:r w:rsidRPr="00B66C33">
        <w:rPr>
          <w:rFonts w:ascii="Arial" w:hAnsi="Arial" w:cs="Arial"/>
          <w:b/>
          <w:bCs/>
          <w:color w:val="1F3864" w:themeColor="accent1" w:themeShade="80"/>
          <w:sz w:val="24"/>
          <w:szCs w:val="24"/>
        </w:rPr>
        <w:t>work</w:t>
      </w:r>
      <w:r w:rsidR="007B12D5" w:rsidRPr="00B66C33">
        <w:rPr>
          <w:rFonts w:ascii="Arial" w:hAnsi="Arial" w:cs="Arial"/>
          <w:b/>
          <w:bCs/>
          <w:color w:val="1F3864" w:themeColor="accent1" w:themeShade="80"/>
          <w:sz w:val="24"/>
          <w:szCs w:val="24"/>
        </w:rPr>
        <w:t xml:space="preserve"> equally well</w:t>
      </w:r>
      <w:r w:rsidRPr="00B66C33">
        <w:rPr>
          <w:rFonts w:ascii="Arial" w:hAnsi="Arial" w:cs="Arial"/>
          <w:b/>
          <w:bCs/>
          <w:color w:val="1F3864" w:themeColor="accent1" w:themeShade="80"/>
          <w:sz w:val="24"/>
          <w:szCs w:val="24"/>
        </w:rPr>
        <w:t xml:space="preserve"> in routine clinical practice</w:t>
      </w:r>
      <w:r w:rsidR="007B12D5" w:rsidRPr="00B66C33">
        <w:rPr>
          <w:rFonts w:ascii="Arial" w:hAnsi="Arial" w:cs="Arial"/>
          <w:b/>
          <w:bCs/>
          <w:color w:val="1F3864" w:themeColor="accent1" w:themeShade="80"/>
          <w:sz w:val="24"/>
          <w:szCs w:val="24"/>
        </w:rPr>
        <w:t xml:space="preserve"> as in RCTs with no increase in clinician workload</w:t>
      </w:r>
      <w:r w:rsidRPr="00B66C33">
        <w:rPr>
          <w:rFonts w:ascii="Arial" w:hAnsi="Arial" w:cs="Arial"/>
          <w:b/>
          <w:bCs/>
          <w:color w:val="1F3864" w:themeColor="accent1" w:themeShade="80"/>
          <w:sz w:val="24"/>
          <w:szCs w:val="24"/>
        </w:rPr>
        <w:t>. It should be adopted at scale across Scotland within an evaluative framework.</w:t>
      </w:r>
    </w:p>
    <w:p w14:paraId="33612A77" w14:textId="77777777" w:rsidR="0045068F" w:rsidRPr="00B66C33" w:rsidRDefault="0045068F" w:rsidP="0045068F">
      <w:pPr>
        <w:rPr>
          <w:rFonts w:ascii="Arial" w:hAnsi="Arial" w:cs="Arial"/>
          <w:b/>
          <w:color w:val="1F3864" w:themeColor="accent1" w:themeShade="80"/>
          <w:sz w:val="24"/>
          <w:szCs w:val="24"/>
        </w:rPr>
      </w:pPr>
      <w:r w:rsidRPr="00B66C33">
        <w:rPr>
          <w:rFonts w:ascii="Arial" w:hAnsi="Arial" w:cs="Arial"/>
          <w:b/>
          <w:color w:val="1F3864" w:themeColor="accent1" w:themeShade="80"/>
          <w:sz w:val="24"/>
          <w:szCs w:val="24"/>
        </w:rPr>
        <w:t>Diabetes mellitus</w:t>
      </w:r>
    </w:p>
    <w:p w14:paraId="31A6DDAA" w14:textId="0AF039E0" w:rsidR="0045068F" w:rsidRPr="00B66C33" w:rsidRDefault="0045068F" w:rsidP="0045068F">
      <w:pPr>
        <w:rPr>
          <w:rFonts w:ascii="Arial" w:hAnsi="Arial" w:cs="Arial"/>
          <w:color w:val="1F3864" w:themeColor="accent1" w:themeShade="80"/>
          <w:sz w:val="24"/>
          <w:szCs w:val="24"/>
        </w:rPr>
      </w:pPr>
      <w:r w:rsidRPr="00B66C33">
        <w:rPr>
          <w:rFonts w:ascii="Arial" w:hAnsi="Arial" w:cs="Arial"/>
          <w:color w:val="1F3864" w:themeColor="accent1" w:themeShade="80"/>
          <w:sz w:val="24"/>
          <w:szCs w:val="24"/>
        </w:rPr>
        <w:t>Just over a quarter of a million people in Scotland have been diagnosed with diabetes. (1</w:t>
      </w:r>
      <w:r w:rsidR="00CD1734" w:rsidRPr="00B66C33">
        <w:rPr>
          <w:rFonts w:ascii="Arial" w:hAnsi="Arial" w:cs="Arial"/>
          <w:color w:val="1F3864" w:themeColor="accent1" w:themeShade="80"/>
          <w:sz w:val="24"/>
          <w:szCs w:val="24"/>
        </w:rPr>
        <w:t>2</w:t>
      </w:r>
      <w:r w:rsidRPr="00B66C33">
        <w:rPr>
          <w:rFonts w:ascii="Arial" w:hAnsi="Arial" w:cs="Arial"/>
          <w:color w:val="1F3864" w:themeColor="accent1" w:themeShade="80"/>
          <w:sz w:val="24"/>
          <w:szCs w:val="24"/>
        </w:rPr>
        <w:t xml:space="preserve">) Around 88% of diabetes is type 2 and managed mainly in primary care. </w:t>
      </w:r>
      <w:r w:rsidR="00D24C60" w:rsidRPr="00B66C33">
        <w:rPr>
          <w:rFonts w:ascii="Arial" w:hAnsi="Arial" w:cs="Arial"/>
          <w:color w:val="1F3864" w:themeColor="accent1" w:themeShade="80"/>
          <w:sz w:val="24"/>
          <w:szCs w:val="24"/>
        </w:rPr>
        <w:t>A</w:t>
      </w:r>
      <w:r w:rsidRPr="00B66C33">
        <w:rPr>
          <w:rFonts w:ascii="Arial" w:hAnsi="Arial" w:cs="Arial"/>
          <w:color w:val="1F3864" w:themeColor="accent1" w:themeShade="80"/>
          <w:sz w:val="24"/>
          <w:szCs w:val="24"/>
        </w:rPr>
        <w:t xml:space="preserve"> recent meta-analysis of 38 randomised controlled trials of telemedicine among 6855 people with diabetes (</w:t>
      </w:r>
      <w:r w:rsidR="00CD1734" w:rsidRPr="00B66C33">
        <w:rPr>
          <w:rFonts w:ascii="Arial" w:hAnsi="Arial" w:cs="Arial"/>
          <w:color w:val="1F3864" w:themeColor="accent1" w:themeShade="80"/>
          <w:sz w:val="24"/>
          <w:szCs w:val="24"/>
        </w:rPr>
        <w:t>13</w:t>
      </w:r>
      <w:r w:rsidRPr="00B66C33">
        <w:rPr>
          <w:rFonts w:ascii="Arial" w:hAnsi="Arial" w:cs="Arial"/>
          <w:color w:val="1F3864" w:themeColor="accent1" w:themeShade="80"/>
          <w:sz w:val="24"/>
          <w:szCs w:val="24"/>
        </w:rPr>
        <w:t>)  (including one Scottish study (</w:t>
      </w:r>
      <w:r w:rsidR="00CD1734" w:rsidRPr="00B66C33">
        <w:rPr>
          <w:rFonts w:ascii="Arial" w:hAnsi="Arial" w:cs="Arial"/>
          <w:color w:val="1F3864" w:themeColor="accent1" w:themeShade="80"/>
          <w:sz w:val="24"/>
          <w:szCs w:val="24"/>
        </w:rPr>
        <w:t>14</w:t>
      </w:r>
      <w:r w:rsidRPr="00B66C33">
        <w:rPr>
          <w:rFonts w:ascii="Arial" w:hAnsi="Arial" w:cs="Arial"/>
          <w:color w:val="1F3864" w:themeColor="accent1" w:themeShade="80"/>
          <w:sz w:val="24"/>
          <w:szCs w:val="24"/>
        </w:rPr>
        <w:t xml:space="preserve">))  reported a significant decline in HbA1c level in interventions compared with control groups </w:t>
      </w:r>
      <w:r w:rsidRPr="00B66C33">
        <w:rPr>
          <w:rFonts w:ascii="Arial" w:hAnsi="Arial" w:cs="Arial"/>
          <w:color w:val="1F3864" w:themeColor="accent1" w:themeShade="80"/>
          <w:sz w:val="24"/>
          <w:szCs w:val="24"/>
          <w:shd w:val="clear" w:color="auto" w:fill="FFFFFF"/>
        </w:rPr>
        <w:t xml:space="preserve">when biological data were sent weekly combined with quick feedback. This resulted in 1.8 times  as many  people in the intervention group achieving improved glycaemic control (HBA1C &lt; 7%) than in the control group,  when feedback was given daily or immediately (RR 1.83, 95% CI 1.35 to 2.47). </w:t>
      </w:r>
      <w:r w:rsidRPr="00B66C33">
        <w:rPr>
          <w:rFonts w:ascii="Arial" w:hAnsi="Arial" w:cs="Arial"/>
          <w:color w:val="1F3864" w:themeColor="accent1" w:themeShade="80"/>
          <w:sz w:val="24"/>
          <w:szCs w:val="24"/>
        </w:rPr>
        <w:t>(</w:t>
      </w:r>
      <w:r w:rsidR="00CD1734" w:rsidRPr="00B66C33">
        <w:rPr>
          <w:rFonts w:ascii="Arial" w:hAnsi="Arial" w:cs="Arial"/>
          <w:color w:val="1F3864" w:themeColor="accent1" w:themeShade="80"/>
          <w:sz w:val="24"/>
          <w:szCs w:val="24"/>
        </w:rPr>
        <w:t>13</w:t>
      </w:r>
      <w:r w:rsidRPr="00B66C33">
        <w:rPr>
          <w:rFonts w:ascii="Arial" w:hAnsi="Arial" w:cs="Arial"/>
          <w:color w:val="1F3864" w:themeColor="accent1" w:themeShade="80"/>
          <w:sz w:val="24"/>
          <w:szCs w:val="24"/>
        </w:rPr>
        <w:t xml:space="preserve">) </w:t>
      </w:r>
      <w:r w:rsidRPr="00B66C33">
        <w:rPr>
          <w:rFonts w:ascii="Arial" w:hAnsi="Arial" w:cs="Arial"/>
          <w:color w:val="1F3864" w:themeColor="accent1" w:themeShade="80"/>
          <w:sz w:val="24"/>
          <w:szCs w:val="24"/>
          <w:shd w:val="clear" w:color="auto" w:fill="FFFFFF"/>
        </w:rPr>
        <w:t>There was also significant reduction in systolic BP (weighted mean difference -1.33 mm Hg) and body mass index (weighted mean difference -0.25 kg/m</w:t>
      </w:r>
      <w:r w:rsidRPr="00B66C33">
        <w:rPr>
          <w:rFonts w:ascii="Arial" w:hAnsi="Arial" w:cs="Arial"/>
          <w:color w:val="1F3864" w:themeColor="accent1" w:themeShade="80"/>
          <w:sz w:val="24"/>
          <w:szCs w:val="24"/>
          <w:shd w:val="clear" w:color="auto" w:fill="FFFFFF"/>
          <w:vertAlign w:val="superscript"/>
        </w:rPr>
        <w:t>2</w:t>
      </w:r>
      <w:r w:rsidRPr="00B66C33">
        <w:rPr>
          <w:rFonts w:ascii="Arial" w:hAnsi="Arial" w:cs="Arial"/>
          <w:color w:val="1F3864" w:themeColor="accent1" w:themeShade="80"/>
          <w:sz w:val="24"/>
          <w:szCs w:val="24"/>
          <w:shd w:val="clear" w:color="auto" w:fill="FFFFFF"/>
        </w:rPr>
        <w:t xml:space="preserve">). </w:t>
      </w:r>
      <w:r w:rsidRPr="00B66C33">
        <w:rPr>
          <w:rFonts w:ascii="Arial" w:hAnsi="Arial" w:cs="Arial"/>
          <w:color w:val="1F3864" w:themeColor="accent1" w:themeShade="80"/>
          <w:sz w:val="24"/>
          <w:szCs w:val="24"/>
        </w:rPr>
        <w:t xml:space="preserve"> As with HBP, telemonitoring studies in diabetes were not prolonged and it is unclear if this effect would be sustained over time or if implemented at scale if it would be taken up by patients and practices. </w:t>
      </w:r>
    </w:p>
    <w:p w14:paraId="45A9516D" w14:textId="1DF9CC9A" w:rsidR="00F03214" w:rsidRPr="00B66C33" w:rsidRDefault="00F03214" w:rsidP="00D24C60">
      <w:pPr>
        <w:rPr>
          <w:rFonts w:ascii="Arial" w:hAnsi="Arial" w:cs="Arial"/>
          <w:color w:val="1F3864" w:themeColor="accent1" w:themeShade="80"/>
          <w:sz w:val="24"/>
          <w:szCs w:val="24"/>
        </w:rPr>
      </w:pPr>
      <w:r w:rsidRPr="00B66C33">
        <w:rPr>
          <w:rFonts w:ascii="Arial" w:hAnsi="Arial" w:cs="Arial"/>
          <w:b/>
          <w:bCs/>
          <w:color w:val="1F3864" w:themeColor="accent1" w:themeShade="80"/>
          <w:sz w:val="24"/>
          <w:szCs w:val="24"/>
        </w:rPr>
        <w:t>Cost-effectiveness</w:t>
      </w:r>
      <w:r w:rsidR="00C03C5E" w:rsidRPr="00B66C33">
        <w:rPr>
          <w:rFonts w:ascii="Arial" w:hAnsi="Arial" w:cs="Arial"/>
          <w:b/>
          <w:bCs/>
          <w:color w:val="1F3864" w:themeColor="accent1" w:themeShade="80"/>
          <w:sz w:val="24"/>
          <w:szCs w:val="24"/>
        </w:rPr>
        <w:t xml:space="preserve">: </w:t>
      </w:r>
      <w:r w:rsidRPr="00B66C33">
        <w:rPr>
          <w:rFonts w:ascii="Arial" w:hAnsi="Arial" w:cs="Arial"/>
          <w:color w:val="1F3864" w:themeColor="accent1" w:themeShade="80"/>
          <w:sz w:val="24"/>
          <w:szCs w:val="24"/>
        </w:rPr>
        <w:t xml:space="preserve">There are fewer papers exploring cost effectiveness. </w:t>
      </w:r>
      <w:r w:rsidR="00E628B0" w:rsidRPr="00B66C33">
        <w:rPr>
          <w:rFonts w:ascii="Arial" w:hAnsi="Arial" w:cs="Arial"/>
          <w:color w:val="1F3864" w:themeColor="accent1" w:themeShade="80"/>
          <w:sz w:val="24"/>
          <w:szCs w:val="24"/>
        </w:rPr>
        <w:t>Limited evidence for use in glycaemia of pregnancy</w:t>
      </w:r>
      <w:r w:rsidR="00CD1734" w:rsidRPr="00B66C33">
        <w:rPr>
          <w:rFonts w:ascii="Arial" w:hAnsi="Arial" w:cs="Arial"/>
          <w:color w:val="1F3864" w:themeColor="accent1" w:themeShade="80"/>
          <w:sz w:val="24"/>
          <w:szCs w:val="24"/>
        </w:rPr>
        <w:t xml:space="preserve"> (15)</w:t>
      </w:r>
      <w:r w:rsidR="00E628B0" w:rsidRPr="00B66C33">
        <w:rPr>
          <w:rFonts w:ascii="Arial" w:hAnsi="Arial" w:cs="Arial"/>
          <w:color w:val="1F3864" w:themeColor="accent1" w:themeShade="80"/>
          <w:sz w:val="24"/>
          <w:szCs w:val="24"/>
        </w:rPr>
        <w:t xml:space="preserve"> and managing foot ulceration</w:t>
      </w:r>
      <w:r w:rsidR="005506BA" w:rsidRPr="00B66C33">
        <w:rPr>
          <w:rFonts w:ascii="Arial" w:hAnsi="Arial" w:cs="Arial"/>
          <w:color w:val="1F3864" w:themeColor="accent1" w:themeShade="80"/>
          <w:sz w:val="24"/>
          <w:szCs w:val="24"/>
        </w:rPr>
        <w:t>(16)</w:t>
      </w:r>
      <w:r w:rsidR="00E628B0" w:rsidRPr="00B66C33">
        <w:rPr>
          <w:rFonts w:ascii="Arial" w:hAnsi="Arial" w:cs="Arial"/>
          <w:color w:val="1F3864" w:themeColor="accent1" w:themeShade="80"/>
          <w:sz w:val="24"/>
          <w:szCs w:val="24"/>
        </w:rPr>
        <w:t xml:space="preserve"> and one small study from China</w:t>
      </w:r>
      <w:r w:rsidR="005506BA" w:rsidRPr="00B66C33">
        <w:rPr>
          <w:rFonts w:ascii="Arial" w:hAnsi="Arial" w:cs="Arial"/>
          <w:color w:val="1F3864" w:themeColor="accent1" w:themeShade="80"/>
          <w:sz w:val="24"/>
          <w:szCs w:val="24"/>
        </w:rPr>
        <w:t>(17)</w:t>
      </w:r>
      <w:r w:rsidR="00E628B0" w:rsidRPr="00B66C33">
        <w:rPr>
          <w:rFonts w:ascii="Arial" w:hAnsi="Arial" w:cs="Arial"/>
          <w:color w:val="1F3864" w:themeColor="accent1" w:themeShade="80"/>
          <w:sz w:val="24"/>
          <w:szCs w:val="24"/>
        </w:rPr>
        <w:t xml:space="preserve"> show positive outcomes in terms of reduced FTF consultations.</w:t>
      </w:r>
    </w:p>
    <w:p w14:paraId="15EF347F" w14:textId="1114AE69" w:rsidR="00E628B0" w:rsidRPr="00B66C33" w:rsidRDefault="00E628B0" w:rsidP="00D24C60">
      <w:pPr>
        <w:rPr>
          <w:rFonts w:ascii="Arial" w:hAnsi="Arial" w:cs="Arial"/>
          <w:b/>
          <w:bCs/>
          <w:color w:val="1F3864" w:themeColor="accent1" w:themeShade="80"/>
          <w:sz w:val="24"/>
          <w:szCs w:val="24"/>
        </w:rPr>
      </w:pPr>
      <w:r w:rsidRPr="00B66C33">
        <w:rPr>
          <w:rFonts w:ascii="Arial" w:hAnsi="Arial" w:cs="Arial"/>
          <w:b/>
          <w:bCs/>
          <w:color w:val="1F3864" w:themeColor="accent1" w:themeShade="80"/>
          <w:sz w:val="24"/>
          <w:szCs w:val="24"/>
        </w:rPr>
        <w:t xml:space="preserve">Verdict: There is strong evidence that telemonitoring of diabetes improves glycaemic and BP control. Further evidence is required to determine cost effectiveness. </w:t>
      </w:r>
      <w:r w:rsidR="00565EA0" w:rsidRPr="00B66C33">
        <w:rPr>
          <w:rFonts w:ascii="Arial" w:hAnsi="Arial" w:cs="Arial"/>
          <w:b/>
          <w:bCs/>
          <w:color w:val="1F3864" w:themeColor="accent1" w:themeShade="80"/>
          <w:sz w:val="24"/>
          <w:szCs w:val="24"/>
        </w:rPr>
        <w:t>Should be scaled up but in the context of a well-planned implementation study which will allow a judgement on cost-effectiveness.</w:t>
      </w:r>
    </w:p>
    <w:p w14:paraId="6173B248" w14:textId="7DBAC943" w:rsidR="00565EA0" w:rsidRPr="00B66C33" w:rsidRDefault="00565EA0" w:rsidP="00F03214">
      <w:pPr>
        <w:ind w:left="720" w:hanging="720"/>
        <w:rPr>
          <w:rFonts w:ascii="Arial" w:hAnsi="Arial" w:cs="Arial"/>
          <w:b/>
          <w:bCs/>
          <w:color w:val="1F3864" w:themeColor="accent1" w:themeShade="80"/>
          <w:sz w:val="24"/>
          <w:szCs w:val="24"/>
        </w:rPr>
      </w:pPr>
    </w:p>
    <w:p w14:paraId="26FD3EE1" w14:textId="77777777" w:rsidR="00565EA0" w:rsidRPr="00B66C33" w:rsidRDefault="00565EA0" w:rsidP="00565EA0">
      <w:pPr>
        <w:rPr>
          <w:rFonts w:ascii="Arial" w:hAnsi="Arial" w:cs="Arial"/>
          <w:b/>
          <w:color w:val="1F3864" w:themeColor="accent1" w:themeShade="80"/>
          <w:sz w:val="24"/>
          <w:szCs w:val="24"/>
        </w:rPr>
      </w:pPr>
      <w:r w:rsidRPr="00B66C33">
        <w:rPr>
          <w:rFonts w:ascii="Arial" w:hAnsi="Arial" w:cs="Arial"/>
          <w:b/>
          <w:color w:val="1F3864" w:themeColor="accent1" w:themeShade="80"/>
          <w:sz w:val="24"/>
          <w:szCs w:val="24"/>
        </w:rPr>
        <w:t>Congestive Cardiac Failure (CCF)</w:t>
      </w:r>
    </w:p>
    <w:p w14:paraId="33D7D53B" w14:textId="24541F57" w:rsidR="00565EA0" w:rsidRPr="00B66C33" w:rsidRDefault="00565EA0" w:rsidP="00565EA0">
      <w:pPr>
        <w:rPr>
          <w:rFonts w:ascii="Arial" w:hAnsi="Arial" w:cs="Arial"/>
          <w:color w:val="1F3864" w:themeColor="accent1" w:themeShade="80"/>
          <w:sz w:val="24"/>
          <w:szCs w:val="24"/>
          <w:shd w:val="clear" w:color="auto" w:fill="FFFFFF"/>
        </w:rPr>
      </w:pPr>
      <w:r w:rsidRPr="00B66C33">
        <w:rPr>
          <w:rFonts w:ascii="Arial" w:hAnsi="Arial" w:cs="Arial"/>
          <w:color w:val="1F3864" w:themeColor="accent1" w:themeShade="80"/>
          <w:sz w:val="24"/>
          <w:szCs w:val="24"/>
        </w:rPr>
        <w:t>CCF is one of the commonest reasons for hospital readmission in Scotland. Early intervention may prevent deterioration and hospitalisation and telehealthcare has been seen as a means to facilitate early detection. Telemonitoring of CCF has mainly been carried out by specialist CHF nurses rather than by primary care staff. A large number of trials have been carried out with varying results. The most recent systematic review (</w:t>
      </w:r>
      <w:r w:rsidR="005506BA" w:rsidRPr="00B66C33">
        <w:rPr>
          <w:rFonts w:ascii="Arial" w:hAnsi="Arial" w:cs="Arial"/>
          <w:color w:val="1F3864" w:themeColor="accent1" w:themeShade="80"/>
          <w:sz w:val="24"/>
          <w:szCs w:val="24"/>
        </w:rPr>
        <w:t>18</w:t>
      </w:r>
      <w:r w:rsidRPr="00B66C33">
        <w:rPr>
          <w:rFonts w:ascii="Arial" w:hAnsi="Arial" w:cs="Arial"/>
          <w:color w:val="1F3864" w:themeColor="accent1" w:themeShade="80"/>
          <w:sz w:val="24"/>
          <w:szCs w:val="24"/>
        </w:rPr>
        <w:t xml:space="preserve">) which included 26 trials and 4923 patients showed a significant reduction in </w:t>
      </w:r>
      <w:proofErr w:type="spellStart"/>
      <w:r w:rsidRPr="00B66C33">
        <w:rPr>
          <w:rFonts w:ascii="Arial" w:hAnsi="Arial" w:cs="Arial"/>
          <w:color w:val="1F3864" w:themeColor="accent1" w:themeShade="80"/>
          <w:sz w:val="24"/>
          <w:szCs w:val="24"/>
        </w:rPr>
        <w:t>all cause</w:t>
      </w:r>
      <w:proofErr w:type="spellEnd"/>
      <w:r w:rsidRPr="00B66C33">
        <w:rPr>
          <w:rFonts w:ascii="Arial" w:hAnsi="Arial" w:cs="Arial"/>
          <w:color w:val="1F3864" w:themeColor="accent1" w:themeShade="80"/>
          <w:sz w:val="24"/>
          <w:szCs w:val="24"/>
        </w:rPr>
        <w:t xml:space="preserve"> mortality in 12 studies  at 180 days ( 40% reduction in the odds (OR: 0.6 p&lt;0.01) ), but in the 6 studies which continued for 365 days the reduction became insignificant (OR 0.85; p=0.461). </w:t>
      </w:r>
      <w:r w:rsidRPr="00B66C33">
        <w:rPr>
          <w:rFonts w:ascii="Arial" w:hAnsi="Arial" w:cs="Arial"/>
          <w:color w:val="1F3864" w:themeColor="accent1" w:themeShade="80"/>
          <w:sz w:val="24"/>
          <w:szCs w:val="24"/>
          <w:shd w:val="clear" w:color="auto" w:fill="FFFFFF"/>
        </w:rPr>
        <w:t>Telemonitoring did not have a significant impact on the odds of all-cause hospitalization at 180 days (OR: 0.97; </w:t>
      </w:r>
      <w:r w:rsidRPr="00B66C33">
        <w:rPr>
          <w:rStyle w:val="equationtd"/>
          <w:rFonts w:ascii="Arial" w:hAnsi="Arial" w:cs="Arial"/>
          <w:color w:val="1F3864" w:themeColor="accent1" w:themeShade="80"/>
          <w:sz w:val="24"/>
          <w:szCs w:val="24"/>
          <w:shd w:val="clear" w:color="auto" w:fill="FFFFFF"/>
        </w:rPr>
        <w:t>p = 0.902</w:t>
      </w:r>
      <w:r w:rsidRPr="00B66C33">
        <w:rPr>
          <w:rFonts w:ascii="Arial" w:hAnsi="Arial" w:cs="Arial"/>
          <w:color w:val="1F3864" w:themeColor="accent1" w:themeShade="80"/>
          <w:sz w:val="24"/>
          <w:szCs w:val="24"/>
          <w:shd w:val="clear" w:color="auto" w:fill="FFFFFF"/>
        </w:rPr>
        <w:t>) or 90 days (OR: 0.81; </w:t>
      </w:r>
      <w:r w:rsidRPr="00B66C33">
        <w:rPr>
          <w:rStyle w:val="equationtd"/>
          <w:rFonts w:ascii="Arial" w:hAnsi="Arial" w:cs="Arial"/>
          <w:color w:val="1F3864" w:themeColor="accent1" w:themeShade="80"/>
          <w:sz w:val="24"/>
          <w:szCs w:val="24"/>
          <w:shd w:val="clear" w:color="auto" w:fill="FFFFFF"/>
        </w:rPr>
        <w:t>p = 0.472</w:t>
      </w:r>
      <w:r w:rsidRPr="00B66C33">
        <w:rPr>
          <w:rFonts w:ascii="Arial" w:hAnsi="Arial" w:cs="Arial"/>
          <w:color w:val="1F3864" w:themeColor="accent1" w:themeShade="80"/>
          <w:sz w:val="24"/>
          <w:szCs w:val="24"/>
          <w:shd w:val="clear" w:color="auto" w:fill="FFFFFF"/>
        </w:rPr>
        <w:t xml:space="preserve">) and was associated with an increase in emergency room visits (OR 1.51 p&lt;0.05). While telemonitoring may confer a short term benefit, perhaps in terms of a period of intensive monitoring post-discharge, evidence suggest no benefit to long-term monitoring.  </w:t>
      </w:r>
    </w:p>
    <w:p w14:paraId="7A14B2E2" w14:textId="28FFADBE" w:rsidR="00506CF8" w:rsidRPr="00B66C33" w:rsidRDefault="002456B2" w:rsidP="00506CF8">
      <w:pPr>
        <w:rPr>
          <w:rFonts w:ascii="Arial" w:hAnsi="Arial" w:cs="Arial"/>
          <w:color w:val="1F3864" w:themeColor="accent1" w:themeShade="80"/>
          <w:sz w:val="24"/>
          <w:szCs w:val="24"/>
          <w:shd w:val="clear" w:color="auto" w:fill="FFFFFF"/>
        </w:rPr>
      </w:pPr>
      <w:r w:rsidRPr="00B66C33">
        <w:rPr>
          <w:rFonts w:ascii="Arial" w:hAnsi="Arial" w:cs="Arial"/>
          <w:b/>
          <w:bCs/>
          <w:color w:val="1F3864" w:themeColor="accent1" w:themeShade="80"/>
          <w:sz w:val="24"/>
          <w:szCs w:val="24"/>
          <w:shd w:val="clear" w:color="auto" w:fill="FFFFFF"/>
        </w:rPr>
        <w:t>Cost-effectiveness</w:t>
      </w:r>
      <w:r w:rsidR="00C03C5E" w:rsidRPr="00B66C33">
        <w:rPr>
          <w:rFonts w:ascii="Arial" w:hAnsi="Arial" w:cs="Arial"/>
          <w:b/>
          <w:bCs/>
          <w:color w:val="1F3864" w:themeColor="accent1" w:themeShade="80"/>
          <w:sz w:val="24"/>
          <w:szCs w:val="24"/>
          <w:shd w:val="clear" w:color="auto" w:fill="FFFFFF"/>
        </w:rPr>
        <w:t xml:space="preserve">: </w:t>
      </w:r>
      <w:r w:rsidRPr="00B66C33">
        <w:rPr>
          <w:rFonts w:ascii="Arial" w:hAnsi="Arial" w:cs="Arial"/>
          <w:color w:val="1F3864" w:themeColor="accent1" w:themeShade="80"/>
          <w:sz w:val="24"/>
          <w:szCs w:val="24"/>
          <w:shd w:val="clear" w:color="auto" w:fill="FFFFFF"/>
        </w:rPr>
        <w:t>Costs reflect the service organisations of the countries in which studies have taken place</w:t>
      </w:r>
      <w:r w:rsidR="00F33BDC" w:rsidRPr="00B66C33">
        <w:rPr>
          <w:rFonts w:ascii="Arial" w:hAnsi="Arial" w:cs="Arial"/>
          <w:color w:val="1F3864" w:themeColor="accent1" w:themeShade="80"/>
          <w:sz w:val="24"/>
          <w:szCs w:val="24"/>
          <w:shd w:val="clear" w:color="auto" w:fill="FFFFFF"/>
        </w:rPr>
        <w:t xml:space="preserve"> and how the system was implemented.</w:t>
      </w:r>
      <w:r w:rsidRPr="00B66C33">
        <w:rPr>
          <w:rFonts w:ascii="Arial" w:hAnsi="Arial" w:cs="Arial"/>
          <w:color w:val="1F3864" w:themeColor="accent1" w:themeShade="80"/>
          <w:sz w:val="24"/>
          <w:szCs w:val="24"/>
          <w:shd w:val="clear" w:color="auto" w:fill="FFFFFF"/>
        </w:rPr>
        <w:t xml:space="preserve"> </w:t>
      </w:r>
      <w:r w:rsidR="005D1D47" w:rsidRPr="00B66C33">
        <w:rPr>
          <w:rFonts w:ascii="Arial" w:hAnsi="Arial" w:cs="Arial"/>
          <w:color w:val="1F3864" w:themeColor="accent1" w:themeShade="80"/>
          <w:sz w:val="24"/>
          <w:szCs w:val="24"/>
          <w:shd w:val="clear" w:color="auto" w:fill="FFFFFF"/>
        </w:rPr>
        <w:t>A study</w:t>
      </w:r>
      <w:r w:rsidR="00F33BDC" w:rsidRPr="00B66C33">
        <w:rPr>
          <w:rFonts w:ascii="Arial" w:hAnsi="Arial" w:cs="Arial"/>
          <w:color w:val="1F3864" w:themeColor="accent1" w:themeShade="80"/>
          <w:sz w:val="24"/>
          <w:szCs w:val="24"/>
          <w:shd w:val="clear" w:color="auto" w:fill="FFFFFF"/>
        </w:rPr>
        <w:t xml:space="preserve"> in 2013 </w:t>
      </w:r>
      <w:r w:rsidR="005D1D47" w:rsidRPr="00B66C33">
        <w:rPr>
          <w:rFonts w:ascii="Arial" w:hAnsi="Arial" w:cs="Arial"/>
          <w:color w:val="1F3864" w:themeColor="accent1" w:themeShade="80"/>
          <w:sz w:val="24"/>
          <w:szCs w:val="24"/>
          <w:shd w:val="clear" w:color="auto" w:fill="FFFFFF"/>
        </w:rPr>
        <w:t>from the UK concluded telemonitoring is cost-effective with ICER of £11 873/QALY</w:t>
      </w:r>
      <w:r w:rsidR="005506BA" w:rsidRPr="00B66C33">
        <w:rPr>
          <w:rFonts w:ascii="Arial" w:hAnsi="Arial" w:cs="Arial"/>
          <w:color w:val="1F3864" w:themeColor="accent1" w:themeShade="80"/>
          <w:sz w:val="24"/>
          <w:szCs w:val="24"/>
          <w:shd w:val="clear" w:color="auto" w:fill="FFFFFF"/>
        </w:rPr>
        <w:t xml:space="preserve"> (1</w:t>
      </w:r>
      <w:r w:rsidR="001F0881" w:rsidRPr="00B66C33">
        <w:rPr>
          <w:rFonts w:ascii="Arial" w:hAnsi="Arial" w:cs="Arial"/>
          <w:color w:val="1F3864" w:themeColor="accent1" w:themeShade="80"/>
          <w:sz w:val="24"/>
          <w:szCs w:val="24"/>
          <w:shd w:val="clear" w:color="auto" w:fill="FFFFFF"/>
        </w:rPr>
        <w:t>9</w:t>
      </w:r>
      <w:r w:rsidR="005506BA" w:rsidRPr="00B66C33">
        <w:rPr>
          <w:rFonts w:ascii="Arial" w:hAnsi="Arial" w:cs="Arial"/>
          <w:color w:val="1F3864" w:themeColor="accent1" w:themeShade="80"/>
          <w:sz w:val="24"/>
          <w:szCs w:val="24"/>
          <w:shd w:val="clear" w:color="auto" w:fill="FFFFFF"/>
        </w:rPr>
        <w:t>)</w:t>
      </w:r>
      <w:r w:rsidR="00F33BDC" w:rsidRPr="00B66C33">
        <w:rPr>
          <w:rFonts w:ascii="Arial" w:hAnsi="Arial" w:cs="Arial"/>
          <w:color w:val="1F3864" w:themeColor="accent1" w:themeShade="80"/>
          <w:sz w:val="24"/>
          <w:szCs w:val="24"/>
          <w:shd w:val="clear" w:color="auto" w:fill="FFFFFF"/>
        </w:rPr>
        <w:t xml:space="preserve"> and one </w:t>
      </w:r>
      <w:r w:rsidR="005D1D47" w:rsidRPr="00B66C33">
        <w:rPr>
          <w:rFonts w:ascii="Arial" w:hAnsi="Arial" w:cs="Arial"/>
          <w:color w:val="1F3864" w:themeColor="accent1" w:themeShade="80"/>
          <w:sz w:val="24"/>
          <w:szCs w:val="24"/>
          <w:shd w:val="clear" w:color="auto" w:fill="FFFFFF"/>
        </w:rPr>
        <w:t>during the COVID pandemic</w:t>
      </w:r>
      <w:r w:rsidR="00F33BDC" w:rsidRPr="00B66C33">
        <w:rPr>
          <w:rFonts w:ascii="Arial" w:hAnsi="Arial" w:cs="Arial"/>
          <w:color w:val="1F3864" w:themeColor="accent1" w:themeShade="80"/>
          <w:sz w:val="24"/>
          <w:szCs w:val="24"/>
          <w:shd w:val="clear" w:color="auto" w:fill="FFFFFF"/>
        </w:rPr>
        <w:t xml:space="preserve"> in Hong Kong</w:t>
      </w:r>
      <w:r w:rsidR="005506BA" w:rsidRPr="00B66C33">
        <w:rPr>
          <w:rFonts w:ascii="Arial" w:hAnsi="Arial" w:cs="Arial"/>
          <w:color w:val="1F3864" w:themeColor="accent1" w:themeShade="80"/>
          <w:sz w:val="24"/>
          <w:szCs w:val="24"/>
          <w:shd w:val="clear" w:color="auto" w:fill="FFFFFF"/>
        </w:rPr>
        <w:t xml:space="preserve"> (</w:t>
      </w:r>
      <w:r w:rsidR="007E1830" w:rsidRPr="00B66C33">
        <w:rPr>
          <w:rFonts w:ascii="Arial" w:hAnsi="Arial" w:cs="Arial"/>
          <w:color w:val="1F3864" w:themeColor="accent1" w:themeShade="80"/>
          <w:sz w:val="24"/>
          <w:szCs w:val="24"/>
          <w:shd w:val="clear" w:color="auto" w:fill="FFFFFF"/>
        </w:rPr>
        <w:t>20</w:t>
      </w:r>
      <w:r w:rsidR="005506BA" w:rsidRPr="00B66C33">
        <w:rPr>
          <w:rFonts w:ascii="Arial" w:hAnsi="Arial" w:cs="Arial"/>
          <w:color w:val="1F3864" w:themeColor="accent1" w:themeShade="80"/>
          <w:sz w:val="24"/>
          <w:szCs w:val="24"/>
          <w:shd w:val="clear" w:color="auto" w:fill="FFFFFF"/>
        </w:rPr>
        <w:t>)</w:t>
      </w:r>
      <w:r w:rsidR="005D1D47" w:rsidRPr="00B66C33">
        <w:rPr>
          <w:rFonts w:ascii="Arial" w:hAnsi="Arial" w:cs="Arial"/>
          <w:color w:val="1F3864" w:themeColor="accent1" w:themeShade="80"/>
          <w:sz w:val="24"/>
          <w:szCs w:val="24"/>
          <w:shd w:val="clear" w:color="auto" w:fill="FFFFFF"/>
        </w:rPr>
        <w:t xml:space="preserve"> </w:t>
      </w:r>
      <w:r w:rsidR="00F33BDC" w:rsidRPr="00B66C33">
        <w:rPr>
          <w:rFonts w:ascii="Arial" w:hAnsi="Arial" w:cs="Arial"/>
          <w:color w:val="1F3864" w:themeColor="accent1" w:themeShade="80"/>
          <w:sz w:val="24"/>
          <w:szCs w:val="24"/>
          <w:shd w:val="clear" w:color="auto" w:fill="FFFFFF"/>
        </w:rPr>
        <w:t>that it was cost effective with an incremental cost-effective ratio of US $4292/QALY. However,  the same authors exploring cost-effectiveness of an implementation</w:t>
      </w:r>
      <w:r w:rsidR="00506CF8" w:rsidRPr="00B66C33">
        <w:rPr>
          <w:rFonts w:ascii="Arial" w:hAnsi="Arial" w:cs="Arial"/>
          <w:color w:val="1F3864" w:themeColor="accent1" w:themeShade="80"/>
          <w:sz w:val="24"/>
          <w:szCs w:val="24"/>
          <w:shd w:val="clear" w:color="auto" w:fill="FFFFFF"/>
        </w:rPr>
        <w:t xml:space="preserve"> post-discharge</w:t>
      </w:r>
      <w:r w:rsidR="00F33BDC" w:rsidRPr="00B66C33">
        <w:rPr>
          <w:rFonts w:ascii="Arial" w:hAnsi="Arial" w:cs="Arial"/>
          <w:color w:val="1F3864" w:themeColor="accent1" w:themeShade="80"/>
          <w:sz w:val="24"/>
          <w:szCs w:val="24"/>
          <w:shd w:val="clear" w:color="auto" w:fill="FFFFFF"/>
        </w:rPr>
        <w:t xml:space="preserve"> in the USA </w:t>
      </w:r>
      <w:r w:rsidR="00506CF8" w:rsidRPr="00B66C33">
        <w:rPr>
          <w:rFonts w:ascii="Arial" w:hAnsi="Arial" w:cs="Arial"/>
          <w:color w:val="1F3864" w:themeColor="accent1" w:themeShade="80"/>
          <w:sz w:val="24"/>
          <w:szCs w:val="24"/>
          <w:shd w:val="clear" w:color="auto" w:fill="FFFFFF"/>
        </w:rPr>
        <w:t>(2</w:t>
      </w:r>
      <w:r w:rsidR="007E1830" w:rsidRPr="00B66C33">
        <w:rPr>
          <w:rFonts w:ascii="Arial" w:hAnsi="Arial" w:cs="Arial"/>
          <w:color w:val="1F3864" w:themeColor="accent1" w:themeShade="80"/>
          <w:sz w:val="24"/>
          <w:szCs w:val="24"/>
          <w:shd w:val="clear" w:color="auto" w:fill="FFFFFF"/>
        </w:rPr>
        <w:t>1</w:t>
      </w:r>
      <w:r w:rsidR="00506CF8" w:rsidRPr="00B66C33">
        <w:rPr>
          <w:rFonts w:ascii="Arial" w:hAnsi="Arial" w:cs="Arial"/>
          <w:color w:val="1F3864" w:themeColor="accent1" w:themeShade="80"/>
          <w:sz w:val="24"/>
          <w:szCs w:val="24"/>
          <w:shd w:val="clear" w:color="auto" w:fill="FFFFFF"/>
        </w:rPr>
        <w:t xml:space="preserve">) </w:t>
      </w:r>
      <w:r w:rsidR="00F33BDC" w:rsidRPr="00B66C33">
        <w:rPr>
          <w:rFonts w:ascii="Arial" w:hAnsi="Arial" w:cs="Arial"/>
          <w:color w:val="1F3864" w:themeColor="accent1" w:themeShade="80"/>
          <w:sz w:val="24"/>
          <w:szCs w:val="24"/>
          <w:shd w:val="clear" w:color="auto" w:fill="FFFFFF"/>
        </w:rPr>
        <w:t>found it not to be cost-effective with an ICER of $100,458</w:t>
      </w:r>
      <w:r w:rsidR="005506BA" w:rsidRPr="00B66C33">
        <w:rPr>
          <w:rFonts w:ascii="Arial" w:hAnsi="Arial" w:cs="Arial"/>
          <w:color w:val="1F3864" w:themeColor="accent1" w:themeShade="80"/>
          <w:sz w:val="24"/>
          <w:szCs w:val="24"/>
          <w:shd w:val="clear" w:color="auto" w:fill="FFFFFF"/>
        </w:rPr>
        <w:t>/QALY</w:t>
      </w:r>
      <w:r w:rsidR="00F33BDC" w:rsidRPr="00B66C33">
        <w:rPr>
          <w:rFonts w:ascii="Arial" w:hAnsi="Arial" w:cs="Arial"/>
          <w:color w:val="1F3864" w:themeColor="accent1" w:themeShade="80"/>
          <w:sz w:val="24"/>
          <w:szCs w:val="24"/>
          <w:shd w:val="clear" w:color="auto" w:fill="FFFFFF"/>
        </w:rPr>
        <w:t>.</w:t>
      </w:r>
      <w:r w:rsidR="005506BA" w:rsidRPr="00B66C33">
        <w:rPr>
          <w:rFonts w:ascii="Arial" w:hAnsi="Arial" w:cs="Arial"/>
          <w:color w:val="1F3864" w:themeColor="accent1" w:themeShade="80"/>
          <w:sz w:val="24"/>
          <w:szCs w:val="24"/>
          <w:shd w:val="clear" w:color="auto" w:fill="FFFFFF"/>
        </w:rPr>
        <w:t xml:space="preserve"> </w:t>
      </w:r>
    </w:p>
    <w:p w14:paraId="1CF86182" w14:textId="3F80048C" w:rsidR="00506CF8" w:rsidRPr="00B66C33" w:rsidRDefault="00506CF8" w:rsidP="00D24C60">
      <w:pPr>
        <w:rPr>
          <w:rFonts w:ascii="Arial" w:hAnsi="Arial" w:cs="Arial"/>
          <w:b/>
          <w:bCs/>
          <w:color w:val="1F3864" w:themeColor="accent1" w:themeShade="80"/>
          <w:sz w:val="24"/>
          <w:szCs w:val="24"/>
        </w:rPr>
      </w:pPr>
      <w:r w:rsidRPr="00B66C33">
        <w:rPr>
          <w:rFonts w:ascii="Arial" w:hAnsi="Arial" w:cs="Arial"/>
          <w:b/>
          <w:bCs/>
          <w:color w:val="1F3864" w:themeColor="accent1" w:themeShade="80"/>
          <w:sz w:val="24"/>
          <w:szCs w:val="24"/>
        </w:rPr>
        <w:t>Verdict: There is good evidence that telemonitoring of CCF improves reduces hospital admissions and deaths in the short to medium term</w:t>
      </w:r>
      <w:r w:rsidR="00D24C60" w:rsidRPr="00B66C33">
        <w:rPr>
          <w:rFonts w:ascii="Arial" w:hAnsi="Arial" w:cs="Arial"/>
          <w:b/>
          <w:bCs/>
          <w:color w:val="1F3864" w:themeColor="accent1" w:themeShade="80"/>
          <w:sz w:val="24"/>
          <w:szCs w:val="24"/>
        </w:rPr>
        <w:t xml:space="preserve"> but less </w:t>
      </w:r>
      <w:r w:rsidRPr="00B66C33">
        <w:rPr>
          <w:rFonts w:ascii="Arial" w:hAnsi="Arial" w:cs="Arial"/>
          <w:b/>
          <w:bCs/>
          <w:color w:val="1F3864" w:themeColor="accent1" w:themeShade="80"/>
          <w:sz w:val="24"/>
          <w:szCs w:val="24"/>
        </w:rPr>
        <w:t xml:space="preserve">evidence it is effective long-term. Scaling up should be targeted at higher-risk patients </w:t>
      </w:r>
      <w:r w:rsidR="00D24C60" w:rsidRPr="00B66C33">
        <w:rPr>
          <w:rFonts w:ascii="Arial" w:hAnsi="Arial" w:cs="Arial"/>
          <w:b/>
          <w:bCs/>
          <w:color w:val="1F3864" w:themeColor="accent1" w:themeShade="80"/>
          <w:sz w:val="24"/>
          <w:szCs w:val="24"/>
        </w:rPr>
        <w:t>for example</w:t>
      </w:r>
      <w:r w:rsidRPr="00B66C33">
        <w:rPr>
          <w:rFonts w:ascii="Arial" w:hAnsi="Arial" w:cs="Arial"/>
          <w:b/>
          <w:bCs/>
          <w:color w:val="1F3864" w:themeColor="accent1" w:themeShade="80"/>
          <w:sz w:val="24"/>
          <w:szCs w:val="24"/>
        </w:rPr>
        <w:t xml:space="preserve"> </w:t>
      </w:r>
      <w:r w:rsidR="00D24C60" w:rsidRPr="00B66C33">
        <w:rPr>
          <w:rFonts w:ascii="Arial" w:hAnsi="Arial" w:cs="Arial"/>
          <w:b/>
          <w:bCs/>
          <w:color w:val="1F3864" w:themeColor="accent1" w:themeShade="80"/>
          <w:sz w:val="24"/>
          <w:szCs w:val="24"/>
        </w:rPr>
        <w:t>post-</w:t>
      </w:r>
      <w:r w:rsidRPr="00B66C33">
        <w:rPr>
          <w:rFonts w:ascii="Arial" w:hAnsi="Arial" w:cs="Arial"/>
          <w:b/>
          <w:bCs/>
          <w:color w:val="1F3864" w:themeColor="accent1" w:themeShade="80"/>
          <w:sz w:val="24"/>
          <w:szCs w:val="24"/>
        </w:rPr>
        <w:t xml:space="preserve">discharge.  Scaling up should be within an evaluative framework as </w:t>
      </w:r>
      <w:r w:rsidR="00D24C60" w:rsidRPr="00B66C33">
        <w:rPr>
          <w:rFonts w:ascii="Arial" w:hAnsi="Arial" w:cs="Arial"/>
          <w:b/>
          <w:bCs/>
          <w:color w:val="1F3864" w:themeColor="accent1" w:themeShade="80"/>
          <w:sz w:val="24"/>
          <w:szCs w:val="24"/>
        </w:rPr>
        <w:t>f</w:t>
      </w:r>
      <w:r w:rsidRPr="00B66C33">
        <w:rPr>
          <w:rFonts w:ascii="Arial" w:hAnsi="Arial" w:cs="Arial"/>
          <w:b/>
          <w:bCs/>
          <w:color w:val="1F3864" w:themeColor="accent1" w:themeShade="80"/>
          <w:sz w:val="24"/>
          <w:szCs w:val="24"/>
        </w:rPr>
        <w:t xml:space="preserve">urther evidence is required to determine cost effectiveness. </w:t>
      </w:r>
    </w:p>
    <w:p w14:paraId="2D3B3FA2" w14:textId="77777777" w:rsidR="00B80F62" w:rsidRPr="00B66C33" w:rsidRDefault="00B80F62" w:rsidP="00D24C60">
      <w:pPr>
        <w:rPr>
          <w:rFonts w:ascii="Arial" w:hAnsi="Arial" w:cs="Arial"/>
          <w:b/>
          <w:bCs/>
          <w:color w:val="1F3864" w:themeColor="accent1" w:themeShade="80"/>
          <w:sz w:val="24"/>
          <w:szCs w:val="24"/>
        </w:rPr>
      </w:pPr>
    </w:p>
    <w:p w14:paraId="47F4D487" w14:textId="77777777" w:rsidR="00B80F62" w:rsidRPr="00B66C33" w:rsidRDefault="00D920D4" w:rsidP="00D24C60">
      <w:pPr>
        <w:rPr>
          <w:rFonts w:ascii="Arial" w:hAnsi="Arial" w:cs="Arial"/>
          <w:b/>
          <w:bCs/>
          <w:color w:val="1F3864" w:themeColor="accent1" w:themeShade="80"/>
          <w:sz w:val="24"/>
          <w:szCs w:val="24"/>
          <w:shd w:val="clear" w:color="auto" w:fill="FFFFFF"/>
        </w:rPr>
      </w:pPr>
      <w:r w:rsidRPr="00B66C33">
        <w:rPr>
          <w:rFonts w:ascii="Arial" w:hAnsi="Arial" w:cs="Arial"/>
          <w:b/>
          <w:bCs/>
          <w:color w:val="1F3864" w:themeColor="accent1" w:themeShade="80"/>
          <w:sz w:val="24"/>
          <w:szCs w:val="24"/>
          <w:shd w:val="clear" w:color="auto" w:fill="FFFFFF"/>
        </w:rPr>
        <w:t>Less evidence of benefit of traditional telemonitoring</w:t>
      </w:r>
    </w:p>
    <w:p w14:paraId="3AA277D4" w14:textId="4C3C7F84" w:rsidR="00D24C60" w:rsidRPr="00B66C33" w:rsidRDefault="00D24C60" w:rsidP="00D24C60">
      <w:pPr>
        <w:rPr>
          <w:rFonts w:ascii="Arial" w:hAnsi="Arial" w:cs="Arial"/>
          <w:b/>
          <w:color w:val="1F3864" w:themeColor="accent1" w:themeShade="80"/>
          <w:sz w:val="24"/>
          <w:szCs w:val="24"/>
        </w:rPr>
      </w:pPr>
      <w:r w:rsidRPr="00B66C33">
        <w:rPr>
          <w:rFonts w:ascii="Arial" w:hAnsi="Arial" w:cs="Arial"/>
          <w:b/>
          <w:color w:val="1F3864" w:themeColor="accent1" w:themeShade="80"/>
          <w:sz w:val="24"/>
          <w:szCs w:val="24"/>
        </w:rPr>
        <w:t>Asthma</w:t>
      </w:r>
    </w:p>
    <w:p w14:paraId="7AB46DDD" w14:textId="534BA771" w:rsidR="006C3BE1" w:rsidRPr="00B66C33" w:rsidRDefault="006C3BE1" w:rsidP="006C3BE1">
      <w:pPr>
        <w:rPr>
          <w:rFonts w:ascii="Arial" w:hAnsi="Arial" w:cs="Arial"/>
          <w:color w:val="1F3864" w:themeColor="accent1" w:themeShade="80"/>
          <w:sz w:val="24"/>
          <w:szCs w:val="24"/>
        </w:rPr>
      </w:pPr>
      <w:r w:rsidRPr="00B66C33">
        <w:rPr>
          <w:rFonts w:ascii="Arial" w:hAnsi="Arial" w:cs="Arial"/>
          <w:color w:val="1F3864" w:themeColor="accent1" w:themeShade="80"/>
          <w:sz w:val="24"/>
          <w:szCs w:val="24"/>
        </w:rPr>
        <w:t>Self-management alone of asthma  is associated with fewer hospital admissions. It can be difficult to separate the effects of this from telemonitored supported self-management. In a systematic review McLean and colleagues analysed a wide range of telehealthcare interventions for asthma in 27 trials.(2</w:t>
      </w:r>
      <w:r w:rsidR="007E1830" w:rsidRPr="00B66C33">
        <w:rPr>
          <w:rFonts w:ascii="Arial" w:hAnsi="Arial" w:cs="Arial"/>
          <w:color w:val="1F3864" w:themeColor="accent1" w:themeShade="80"/>
          <w:sz w:val="24"/>
          <w:szCs w:val="24"/>
        </w:rPr>
        <w:t>2</w:t>
      </w:r>
      <w:r w:rsidRPr="00B66C33">
        <w:rPr>
          <w:rFonts w:ascii="Arial" w:hAnsi="Arial" w:cs="Arial"/>
          <w:color w:val="1F3864" w:themeColor="accent1" w:themeShade="80"/>
          <w:sz w:val="24"/>
          <w:szCs w:val="24"/>
        </w:rPr>
        <w:t xml:space="preserve">) Meta-analysis showed no significant improvement in emergency department use or hospitalisation at 3 months, but, in a subgroup of four smaller studies, a significant reduction in hospitalisations compared to usual care at 12 months. No benefit was conferred with respect to reported symptoms.  However, in many of the studies the control groups were given enhanced face-to-face care making it challenging to show the benefits of telemonitoring. The authors concluded that telehealthcare was unlikely to confer benefits in mild-moderate asthma but that those at higher risk of hospitalisation may benefit and that </w:t>
      </w:r>
      <w:r w:rsidRPr="00B66C33">
        <w:rPr>
          <w:rFonts w:ascii="Arial" w:hAnsi="Arial" w:cs="Arial"/>
          <w:color w:val="1F3864" w:themeColor="accent1" w:themeShade="80"/>
          <w:sz w:val="24"/>
          <w:szCs w:val="24"/>
          <w:shd w:val="clear" w:color="auto" w:fill="FFFFFF"/>
        </w:rPr>
        <w:t>considerably more research was needed to investigate the cost effectiveness of telehealthcare-centred models of care.</w:t>
      </w:r>
      <w:r w:rsidRPr="00B66C33">
        <w:rPr>
          <w:rFonts w:ascii="Arial" w:hAnsi="Arial" w:cs="Arial"/>
          <w:color w:val="1F3864" w:themeColor="accent1" w:themeShade="80"/>
          <w:sz w:val="24"/>
          <w:szCs w:val="24"/>
        </w:rPr>
        <w:t xml:space="preserve"> A review in 2018 focussing on child and adolescent asthma found 8 RCTs which showed no benefit of continuous monitoring.</w:t>
      </w:r>
      <w:r w:rsidR="002F6A85" w:rsidRPr="00B66C33">
        <w:rPr>
          <w:rFonts w:ascii="Arial" w:hAnsi="Arial" w:cs="Arial"/>
          <w:color w:val="1F3864" w:themeColor="accent1" w:themeShade="80"/>
          <w:sz w:val="24"/>
          <w:szCs w:val="24"/>
        </w:rPr>
        <w:t>(2</w:t>
      </w:r>
      <w:r w:rsidR="007E1830" w:rsidRPr="00B66C33">
        <w:rPr>
          <w:rFonts w:ascii="Arial" w:hAnsi="Arial" w:cs="Arial"/>
          <w:color w:val="1F3864" w:themeColor="accent1" w:themeShade="80"/>
          <w:sz w:val="24"/>
          <w:szCs w:val="24"/>
        </w:rPr>
        <w:t>3</w:t>
      </w:r>
      <w:r w:rsidR="002F6A85" w:rsidRPr="00B66C33">
        <w:rPr>
          <w:rFonts w:ascii="Arial" w:hAnsi="Arial" w:cs="Arial"/>
          <w:color w:val="1F3864" w:themeColor="accent1" w:themeShade="80"/>
          <w:sz w:val="24"/>
          <w:szCs w:val="24"/>
        </w:rPr>
        <w:t>)</w:t>
      </w:r>
      <w:r w:rsidRPr="00B66C33">
        <w:rPr>
          <w:rFonts w:ascii="Arial" w:hAnsi="Arial" w:cs="Arial"/>
          <w:color w:val="1F3864" w:themeColor="accent1" w:themeShade="80"/>
          <w:sz w:val="24"/>
          <w:szCs w:val="24"/>
        </w:rPr>
        <w:t xml:space="preserve"> Another more limited Cochrane review exploring two more recent papers on the use of asthma apps found contradictory results and concluded that evidence was insufficient to recommend the use of mobile apps for managing asthma. (2</w:t>
      </w:r>
      <w:r w:rsidR="007E1830" w:rsidRPr="00B66C33">
        <w:rPr>
          <w:rFonts w:ascii="Arial" w:hAnsi="Arial" w:cs="Arial"/>
          <w:color w:val="1F3864" w:themeColor="accent1" w:themeShade="80"/>
          <w:sz w:val="24"/>
          <w:szCs w:val="24"/>
        </w:rPr>
        <w:t>4</w:t>
      </w:r>
      <w:r w:rsidRPr="00B66C33">
        <w:rPr>
          <w:rFonts w:ascii="Arial" w:hAnsi="Arial" w:cs="Arial"/>
          <w:color w:val="1F3864" w:themeColor="accent1" w:themeShade="80"/>
          <w:sz w:val="24"/>
          <w:szCs w:val="24"/>
        </w:rPr>
        <w:t>)</w:t>
      </w:r>
    </w:p>
    <w:p w14:paraId="18638CC5" w14:textId="480C95DA" w:rsidR="00C03C5E" w:rsidRPr="00B66C33" w:rsidRDefault="00C03C5E" w:rsidP="006C3BE1">
      <w:pPr>
        <w:rPr>
          <w:rFonts w:ascii="Arial" w:hAnsi="Arial" w:cs="Arial"/>
          <w:color w:val="1F3864" w:themeColor="accent1" w:themeShade="80"/>
          <w:sz w:val="24"/>
          <w:szCs w:val="24"/>
        </w:rPr>
      </w:pPr>
      <w:r w:rsidRPr="00B66C33">
        <w:rPr>
          <w:rFonts w:ascii="Arial" w:hAnsi="Arial" w:cs="Arial"/>
          <w:b/>
          <w:bCs/>
          <w:color w:val="1F3864" w:themeColor="accent1" w:themeShade="80"/>
          <w:sz w:val="24"/>
          <w:szCs w:val="24"/>
        </w:rPr>
        <w:t xml:space="preserve">Cost-effectiveness: </w:t>
      </w:r>
      <w:r w:rsidRPr="00B66C33">
        <w:rPr>
          <w:rFonts w:ascii="Arial" w:hAnsi="Arial" w:cs="Arial"/>
          <w:color w:val="1F3864" w:themeColor="accent1" w:themeShade="80"/>
          <w:sz w:val="24"/>
          <w:szCs w:val="24"/>
        </w:rPr>
        <w:t xml:space="preserve"> There is no strong evidence that continuous telemonitoring for asthma is cost-effective</w:t>
      </w:r>
    </w:p>
    <w:p w14:paraId="387AA3C7" w14:textId="79AD0D82" w:rsidR="0043054C" w:rsidRPr="00B66C33" w:rsidRDefault="0043054C" w:rsidP="0043054C">
      <w:pPr>
        <w:rPr>
          <w:rFonts w:ascii="Arial" w:hAnsi="Arial" w:cs="Arial"/>
          <w:b/>
          <w:bCs/>
          <w:color w:val="1F3864" w:themeColor="accent1" w:themeShade="80"/>
          <w:sz w:val="24"/>
          <w:szCs w:val="24"/>
        </w:rPr>
      </w:pPr>
      <w:r w:rsidRPr="00B66C33">
        <w:rPr>
          <w:rFonts w:ascii="Arial" w:hAnsi="Arial" w:cs="Arial"/>
          <w:b/>
          <w:bCs/>
          <w:color w:val="1F3864" w:themeColor="accent1" w:themeShade="80"/>
          <w:sz w:val="24"/>
          <w:szCs w:val="24"/>
        </w:rPr>
        <w:t>Verdict: There is no strong evidence that</w:t>
      </w:r>
      <w:r w:rsidR="00D920D4" w:rsidRPr="00B66C33">
        <w:rPr>
          <w:rFonts w:ascii="Arial" w:hAnsi="Arial" w:cs="Arial"/>
          <w:b/>
          <w:bCs/>
          <w:color w:val="1F3864" w:themeColor="accent1" w:themeShade="80"/>
          <w:sz w:val="24"/>
          <w:szCs w:val="24"/>
        </w:rPr>
        <w:t xml:space="preserve"> </w:t>
      </w:r>
      <w:r w:rsidR="00CC3CF8" w:rsidRPr="00B66C33">
        <w:rPr>
          <w:rFonts w:ascii="Arial" w:hAnsi="Arial" w:cs="Arial"/>
          <w:b/>
          <w:bCs/>
          <w:color w:val="1F3864" w:themeColor="accent1" w:themeShade="80"/>
          <w:sz w:val="24"/>
          <w:szCs w:val="24"/>
        </w:rPr>
        <w:t>remote clinician</w:t>
      </w:r>
      <w:r w:rsidRPr="00B66C33">
        <w:rPr>
          <w:rFonts w:ascii="Arial" w:hAnsi="Arial" w:cs="Arial"/>
          <w:b/>
          <w:bCs/>
          <w:color w:val="1F3864" w:themeColor="accent1" w:themeShade="80"/>
          <w:sz w:val="24"/>
          <w:szCs w:val="24"/>
        </w:rPr>
        <w:t xml:space="preserve"> telemonitoring of Asthma improves symptoms or reduces hospital admissions overall</w:t>
      </w:r>
      <w:r w:rsidR="00CC3CF8" w:rsidRPr="00B66C33">
        <w:rPr>
          <w:rFonts w:ascii="Arial" w:hAnsi="Arial" w:cs="Arial"/>
          <w:b/>
          <w:bCs/>
          <w:color w:val="1F3864" w:themeColor="accent1" w:themeShade="80"/>
          <w:sz w:val="24"/>
          <w:szCs w:val="24"/>
        </w:rPr>
        <w:t xml:space="preserve"> particularly for people with mild moderate asthma</w:t>
      </w:r>
      <w:r w:rsidRPr="00B66C33">
        <w:rPr>
          <w:rFonts w:ascii="Arial" w:hAnsi="Arial" w:cs="Arial"/>
          <w:b/>
          <w:bCs/>
          <w:color w:val="1F3864" w:themeColor="accent1" w:themeShade="80"/>
          <w:sz w:val="24"/>
          <w:szCs w:val="24"/>
        </w:rPr>
        <w:t xml:space="preserve">. </w:t>
      </w:r>
      <w:r w:rsidR="00CC3CF8" w:rsidRPr="00B66C33">
        <w:rPr>
          <w:rFonts w:ascii="Arial" w:hAnsi="Arial" w:cs="Arial"/>
          <w:b/>
          <w:bCs/>
          <w:color w:val="1F3864" w:themeColor="accent1" w:themeShade="80"/>
          <w:sz w:val="24"/>
          <w:szCs w:val="24"/>
        </w:rPr>
        <w:t>However, t</w:t>
      </w:r>
      <w:r w:rsidRPr="00B66C33">
        <w:rPr>
          <w:rFonts w:ascii="Arial" w:hAnsi="Arial" w:cs="Arial"/>
          <w:b/>
          <w:bCs/>
          <w:color w:val="1F3864" w:themeColor="accent1" w:themeShade="80"/>
          <w:sz w:val="24"/>
          <w:szCs w:val="24"/>
        </w:rPr>
        <w:t xml:space="preserve">here </w:t>
      </w:r>
      <w:r w:rsidR="00CC3CF8" w:rsidRPr="00B66C33">
        <w:rPr>
          <w:rFonts w:ascii="Arial" w:hAnsi="Arial" w:cs="Arial"/>
          <w:b/>
          <w:bCs/>
          <w:color w:val="1F3864" w:themeColor="accent1" w:themeShade="80"/>
          <w:sz w:val="24"/>
          <w:szCs w:val="24"/>
        </w:rPr>
        <w:t xml:space="preserve">is some evidence that </w:t>
      </w:r>
      <w:r w:rsidRPr="00B66C33">
        <w:rPr>
          <w:rFonts w:ascii="Arial" w:hAnsi="Arial" w:cs="Arial"/>
          <w:b/>
          <w:bCs/>
          <w:color w:val="1F3864" w:themeColor="accent1" w:themeShade="80"/>
          <w:sz w:val="24"/>
          <w:szCs w:val="24"/>
        </w:rPr>
        <w:t>telemonitoring</w:t>
      </w:r>
      <w:r w:rsidR="00CC3CF8" w:rsidRPr="00B66C33">
        <w:rPr>
          <w:rFonts w:ascii="Arial" w:hAnsi="Arial" w:cs="Arial"/>
          <w:b/>
          <w:bCs/>
          <w:color w:val="1F3864" w:themeColor="accent1" w:themeShade="80"/>
          <w:sz w:val="24"/>
          <w:szCs w:val="24"/>
        </w:rPr>
        <w:t xml:space="preserve"> may be effective for </w:t>
      </w:r>
      <w:r w:rsidRPr="00B66C33">
        <w:rPr>
          <w:rFonts w:ascii="Arial" w:hAnsi="Arial" w:cs="Arial"/>
          <w:b/>
          <w:bCs/>
          <w:color w:val="1F3864" w:themeColor="accent1" w:themeShade="80"/>
          <w:sz w:val="24"/>
          <w:szCs w:val="24"/>
        </w:rPr>
        <w:t xml:space="preserve">a more severe group with high risk of hospital admission. </w:t>
      </w:r>
      <w:r w:rsidR="00CC3CF8" w:rsidRPr="00B66C33">
        <w:rPr>
          <w:rFonts w:ascii="Arial" w:hAnsi="Arial" w:cs="Arial"/>
          <w:b/>
          <w:bCs/>
          <w:color w:val="1F3864" w:themeColor="accent1" w:themeShade="80"/>
          <w:sz w:val="24"/>
          <w:szCs w:val="24"/>
        </w:rPr>
        <w:t xml:space="preserve"> </w:t>
      </w:r>
      <w:r w:rsidR="00C03C5E" w:rsidRPr="00B66C33">
        <w:rPr>
          <w:rFonts w:ascii="Arial" w:hAnsi="Arial" w:cs="Arial"/>
          <w:b/>
          <w:bCs/>
          <w:color w:val="1F3864" w:themeColor="accent1" w:themeShade="80"/>
          <w:sz w:val="24"/>
          <w:szCs w:val="24"/>
        </w:rPr>
        <w:t>Ongoing work is exploring the use of technology to encourage adherence to asthma self-management plans</w:t>
      </w:r>
      <w:r w:rsidR="00CC3CF8" w:rsidRPr="00B66C33">
        <w:rPr>
          <w:rFonts w:ascii="Arial" w:hAnsi="Arial" w:cs="Arial"/>
          <w:b/>
          <w:bCs/>
          <w:color w:val="1F3864" w:themeColor="accent1" w:themeShade="80"/>
          <w:sz w:val="24"/>
          <w:szCs w:val="24"/>
        </w:rPr>
        <w:t>, which are known to be effective, with onward forwarding to clinicians to aid regular review.</w:t>
      </w:r>
      <w:r w:rsidR="00C03C5E" w:rsidRPr="00B66C33">
        <w:rPr>
          <w:rFonts w:ascii="Arial" w:hAnsi="Arial" w:cs="Arial"/>
          <w:b/>
          <w:bCs/>
          <w:color w:val="1F3864" w:themeColor="accent1" w:themeShade="80"/>
          <w:sz w:val="24"/>
          <w:szCs w:val="24"/>
        </w:rPr>
        <w:t xml:space="preserve"> </w:t>
      </w:r>
      <w:r w:rsidRPr="00B66C33">
        <w:rPr>
          <w:rFonts w:ascii="Arial" w:hAnsi="Arial" w:cs="Arial"/>
          <w:b/>
          <w:bCs/>
          <w:color w:val="1F3864" w:themeColor="accent1" w:themeShade="80"/>
          <w:sz w:val="24"/>
          <w:szCs w:val="24"/>
        </w:rPr>
        <w:t xml:space="preserve">However, such interventions should be within an evaluative framework as further evidence is required to determine cost effectiveness. </w:t>
      </w:r>
      <w:r w:rsidR="00CC3CF8" w:rsidRPr="00B66C33">
        <w:rPr>
          <w:rFonts w:ascii="Arial" w:hAnsi="Arial" w:cs="Arial"/>
          <w:b/>
          <w:bCs/>
          <w:color w:val="1F3864" w:themeColor="accent1" w:themeShade="80"/>
          <w:sz w:val="24"/>
          <w:szCs w:val="24"/>
        </w:rPr>
        <w:t xml:space="preserve">Such a study is currently underway in the UK with some Scottish sites. </w:t>
      </w:r>
    </w:p>
    <w:p w14:paraId="6CFBF3C0" w14:textId="18C2F9B3" w:rsidR="0043054C" w:rsidRPr="00B66C33" w:rsidRDefault="0043054C" w:rsidP="0043054C">
      <w:pPr>
        <w:rPr>
          <w:rFonts w:ascii="Arial" w:hAnsi="Arial" w:cs="Arial"/>
          <w:b/>
          <w:bCs/>
          <w:color w:val="1F3864" w:themeColor="accent1" w:themeShade="80"/>
          <w:sz w:val="24"/>
          <w:szCs w:val="24"/>
        </w:rPr>
      </w:pPr>
    </w:p>
    <w:p w14:paraId="3ED8F668" w14:textId="77777777" w:rsidR="0043054C" w:rsidRPr="00B66C33" w:rsidRDefault="0043054C" w:rsidP="0043054C">
      <w:pPr>
        <w:rPr>
          <w:rFonts w:ascii="Arial" w:hAnsi="Arial" w:cs="Arial"/>
          <w:b/>
          <w:color w:val="1F3864" w:themeColor="accent1" w:themeShade="80"/>
          <w:sz w:val="24"/>
          <w:szCs w:val="24"/>
        </w:rPr>
      </w:pPr>
      <w:r w:rsidRPr="00B66C33">
        <w:rPr>
          <w:rFonts w:ascii="Arial" w:hAnsi="Arial" w:cs="Arial"/>
          <w:b/>
          <w:color w:val="1F3864" w:themeColor="accent1" w:themeShade="80"/>
          <w:sz w:val="24"/>
          <w:szCs w:val="24"/>
        </w:rPr>
        <w:t>Chronic Obstructive Pulmonary Disorder (COPD)</w:t>
      </w:r>
    </w:p>
    <w:p w14:paraId="3C3F5AE4" w14:textId="77777777" w:rsidR="00396D84" w:rsidRPr="00B66C33" w:rsidRDefault="0043054C" w:rsidP="0043054C">
      <w:pPr>
        <w:rPr>
          <w:rFonts w:ascii="Arial" w:hAnsi="Arial" w:cs="Arial"/>
          <w:color w:val="1F3864" w:themeColor="accent1" w:themeShade="80"/>
          <w:sz w:val="24"/>
          <w:szCs w:val="24"/>
        </w:rPr>
      </w:pPr>
      <w:r w:rsidRPr="00B66C33">
        <w:rPr>
          <w:rFonts w:ascii="Arial" w:hAnsi="Arial" w:cs="Arial"/>
          <w:color w:val="1F3864" w:themeColor="accent1" w:themeShade="80"/>
          <w:sz w:val="24"/>
          <w:szCs w:val="24"/>
        </w:rPr>
        <w:t>COPD is one of the leading causes of hospital admission mainly because of exacerbations of the condition. Early identification of exacerbations and timely treatment can prevent severe deterioration and hospital admission.(</w:t>
      </w:r>
      <w:r w:rsidR="002F6A85" w:rsidRPr="00B66C33">
        <w:rPr>
          <w:rFonts w:ascii="Arial" w:hAnsi="Arial" w:cs="Arial"/>
          <w:color w:val="1F3864" w:themeColor="accent1" w:themeShade="80"/>
          <w:sz w:val="24"/>
          <w:szCs w:val="24"/>
        </w:rPr>
        <w:t>2</w:t>
      </w:r>
      <w:r w:rsidR="007E1830" w:rsidRPr="00B66C33">
        <w:rPr>
          <w:rFonts w:ascii="Arial" w:hAnsi="Arial" w:cs="Arial"/>
          <w:color w:val="1F3864" w:themeColor="accent1" w:themeShade="80"/>
          <w:sz w:val="24"/>
          <w:szCs w:val="24"/>
        </w:rPr>
        <w:t>5</w:t>
      </w:r>
      <w:r w:rsidRPr="00B66C33">
        <w:rPr>
          <w:rFonts w:ascii="Arial" w:hAnsi="Arial" w:cs="Arial"/>
          <w:color w:val="1F3864" w:themeColor="accent1" w:themeShade="80"/>
          <w:sz w:val="24"/>
          <w:szCs w:val="24"/>
        </w:rPr>
        <w:t>) Daily telemetric monitoring of symptoms, pulse oximetry and in some cases spirometry has been used to help identify these early exacerbations. Previous systematic reviews which relied on relatively poor quality studies had concluded that telehealthcare may be effective.(</w:t>
      </w:r>
      <w:r w:rsidR="002F6A85" w:rsidRPr="00B66C33">
        <w:rPr>
          <w:rFonts w:ascii="Arial" w:hAnsi="Arial" w:cs="Arial"/>
          <w:color w:val="1F3864" w:themeColor="accent1" w:themeShade="80"/>
          <w:sz w:val="24"/>
          <w:szCs w:val="24"/>
        </w:rPr>
        <w:t>2</w:t>
      </w:r>
      <w:r w:rsidR="007E1830" w:rsidRPr="00B66C33">
        <w:rPr>
          <w:rFonts w:ascii="Arial" w:hAnsi="Arial" w:cs="Arial"/>
          <w:color w:val="1F3864" w:themeColor="accent1" w:themeShade="80"/>
          <w:sz w:val="24"/>
          <w:szCs w:val="24"/>
        </w:rPr>
        <w:t>6</w:t>
      </w:r>
      <w:r w:rsidRPr="00B66C33">
        <w:rPr>
          <w:rFonts w:ascii="Arial" w:hAnsi="Arial" w:cs="Arial"/>
          <w:color w:val="1F3864" w:themeColor="accent1" w:themeShade="80"/>
          <w:sz w:val="24"/>
          <w:szCs w:val="24"/>
        </w:rPr>
        <w:t>) However, many of these studies were very complex and included additional nursing and medical support in their interventions which made it difficult to identify whether or not the telehealthcare component led to any change that had been detected.(</w:t>
      </w:r>
      <w:r w:rsidR="002F6A85" w:rsidRPr="00B66C33">
        <w:rPr>
          <w:rFonts w:ascii="Arial" w:hAnsi="Arial" w:cs="Arial"/>
          <w:color w:val="1F3864" w:themeColor="accent1" w:themeShade="80"/>
          <w:sz w:val="24"/>
          <w:szCs w:val="24"/>
        </w:rPr>
        <w:t>2</w:t>
      </w:r>
      <w:r w:rsidR="007E1830" w:rsidRPr="00B66C33">
        <w:rPr>
          <w:rFonts w:ascii="Arial" w:hAnsi="Arial" w:cs="Arial"/>
          <w:color w:val="1F3864" w:themeColor="accent1" w:themeShade="80"/>
          <w:sz w:val="24"/>
          <w:szCs w:val="24"/>
        </w:rPr>
        <w:t>7</w:t>
      </w:r>
      <w:r w:rsidRPr="00B66C33">
        <w:rPr>
          <w:rFonts w:ascii="Arial" w:hAnsi="Arial" w:cs="Arial"/>
          <w:color w:val="1F3864" w:themeColor="accent1" w:themeShade="80"/>
          <w:sz w:val="24"/>
          <w:szCs w:val="24"/>
        </w:rPr>
        <w:t>) The most recent systematic review of 29 studies shows variation in outcomes but that large, high quality studies demonstrated no improvement in outcomes.(</w:t>
      </w:r>
      <w:r w:rsidR="002F6A85" w:rsidRPr="00B66C33">
        <w:rPr>
          <w:rFonts w:ascii="Arial" w:hAnsi="Arial" w:cs="Arial"/>
          <w:color w:val="1F3864" w:themeColor="accent1" w:themeShade="80"/>
          <w:sz w:val="24"/>
          <w:szCs w:val="24"/>
        </w:rPr>
        <w:t>2</w:t>
      </w:r>
      <w:r w:rsidR="007E1830" w:rsidRPr="00B66C33">
        <w:rPr>
          <w:rFonts w:ascii="Arial" w:hAnsi="Arial" w:cs="Arial"/>
          <w:color w:val="1F3864" w:themeColor="accent1" w:themeShade="80"/>
          <w:sz w:val="24"/>
          <w:szCs w:val="24"/>
        </w:rPr>
        <w:t>8</w:t>
      </w:r>
      <w:r w:rsidRPr="00B66C33">
        <w:rPr>
          <w:rFonts w:ascii="Arial" w:hAnsi="Arial" w:cs="Arial"/>
          <w:color w:val="1F3864" w:themeColor="accent1" w:themeShade="80"/>
          <w:sz w:val="24"/>
          <w:szCs w:val="24"/>
        </w:rPr>
        <w:t>) The most recent cluster RCT conducted in Denmark showed no impact on QoL and was not cost effective.</w:t>
      </w:r>
      <w:r w:rsidR="002F6A85" w:rsidRPr="00B66C33">
        <w:rPr>
          <w:rFonts w:ascii="Arial" w:hAnsi="Arial" w:cs="Arial"/>
          <w:color w:val="1F3864" w:themeColor="accent1" w:themeShade="80"/>
          <w:sz w:val="24"/>
          <w:szCs w:val="24"/>
        </w:rPr>
        <w:t>(2</w:t>
      </w:r>
      <w:r w:rsidR="007E1830" w:rsidRPr="00B66C33">
        <w:rPr>
          <w:rFonts w:ascii="Arial" w:hAnsi="Arial" w:cs="Arial"/>
          <w:color w:val="1F3864" w:themeColor="accent1" w:themeShade="80"/>
          <w:sz w:val="24"/>
          <w:szCs w:val="24"/>
        </w:rPr>
        <w:t>9</w:t>
      </w:r>
      <w:r w:rsidR="002F6A85" w:rsidRPr="00B66C33">
        <w:rPr>
          <w:rFonts w:ascii="Arial" w:hAnsi="Arial" w:cs="Arial"/>
          <w:color w:val="1F3864" w:themeColor="accent1" w:themeShade="80"/>
          <w:sz w:val="24"/>
          <w:szCs w:val="24"/>
        </w:rPr>
        <w:t>)</w:t>
      </w:r>
      <w:r w:rsidRPr="00B66C33">
        <w:rPr>
          <w:rFonts w:ascii="Arial" w:hAnsi="Arial" w:cs="Arial"/>
          <w:color w:val="1F3864" w:themeColor="accent1" w:themeShade="80"/>
          <w:sz w:val="24"/>
          <w:szCs w:val="24"/>
        </w:rPr>
        <w:t xml:space="preserve"> A large Scottish RCT (</w:t>
      </w:r>
      <w:r w:rsidR="007E1830" w:rsidRPr="00B66C33">
        <w:rPr>
          <w:rFonts w:ascii="Arial" w:hAnsi="Arial" w:cs="Arial"/>
          <w:color w:val="1F3864" w:themeColor="accent1" w:themeShade="80"/>
          <w:sz w:val="24"/>
          <w:szCs w:val="24"/>
        </w:rPr>
        <w:t>30</w:t>
      </w:r>
      <w:r w:rsidRPr="00B66C33">
        <w:rPr>
          <w:rFonts w:ascii="Arial" w:hAnsi="Arial" w:cs="Arial"/>
          <w:color w:val="1F3864" w:themeColor="accent1" w:themeShade="80"/>
          <w:sz w:val="24"/>
          <w:szCs w:val="24"/>
        </w:rPr>
        <w:t>) set out to explore the impact of telemonitoring where equivalent additional support was given to controls. This demonstrated no impact of telehealthcare on time to admission or total admission time, but it was associated with many ‘false positive alerts’ which lead to an increase in workload.</w:t>
      </w:r>
      <w:r w:rsidR="00B60EFC" w:rsidRPr="00B66C33">
        <w:rPr>
          <w:rFonts w:ascii="Arial" w:hAnsi="Arial" w:cs="Arial"/>
          <w:color w:val="1F3864" w:themeColor="accent1" w:themeShade="80"/>
          <w:sz w:val="24"/>
          <w:szCs w:val="24"/>
        </w:rPr>
        <w:t xml:space="preserve"> </w:t>
      </w:r>
    </w:p>
    <w:p w14:paraId="3D95A1F3" w14:textId="1D36FB6A" w:rsidR="00396D84" w:rsidRPr="00B66C33" w:rsidRDefault="00B60EFC" w:rsidP="0043054C">
      <w:pPr>
        <w:rPr>
          <w:rFonts w:ascii="Arial" w:hAnsi="Arial" w:cs="Arial"/>
          <w:color w:val="1F3864" w:themeColor="accent1" w:themeShade="80"/>
          <w:sz w:val="24"/>
          <w:szCs w:val="24"/>
        </w:rPr>
      </w:pPr>
      <w:r w:rsidRPr="00B66C33">
        <w:rPr>
          <w:rFonts w:ascii="Arial" w:hAnsi="Arial" w:cs="Arial"/>
          <w:b/>
          <w:bCs/>
          <w:color w:val="1F3864" w:themeColor="accent1" w:themeShade="80"/>
          <w:sz w:val="24"/>
          <w:szCs w:val="24"/>
        </w:rPr>
        <w:t>Cost-effectiveness</w:t>
      </w:r>
      <w:r w:rsidR="00C03C5E" w:rsidRPr="00B66C33">
        <w:rPr>
          <w:rFonts w:ascii="Arial" w:hAnsi="Arial" w:cs="Arial"/>
          <w:b/>
          <w:bCs/>
          <w:color w:val="1F3864" w:themeColor="accent1" w:themeShade="80"/>
          <w:sz w:val="24"/>
          <w:szCs w:val="24"/>
        </w:rPr>
        <w:t>:</w:t>
      </w:r>
      <w:r w:rsidRPr="00B66C33">
        <w:rPr>
          <w:rFonts w:ascii="Arial" w:hAnsi="Arial" w:cs="Arial"/>
          <w:color w:val="1F3864" w:themeColor="accent1" w:themeShade="80"/>
          <w:sz w:val="24"/>
          <w:szCs w:val="24"/>
        </w:rPr>
        <w:t xml:space="preserve"> has not been demonstrated in studies carried out in the context of RCTs.</w:t>
      </w:r>
      <w:r w:rsidR="00396D84" w:rsidRPr="00B66C33">
        <w:rPr>
          <w:rFonts w:ascii="Arial" w:hAnsi="Arial" w:cs="Arial"/>
          <w:color w:val="1F3864" w:themeColor="accent1" w:themeShade="80"/>
          <w:sz w:val="24"/>
          <w:szCs w:val="24"/>
        </w:rPr>
        <w:t>(30,31,</w:t>
      </w:r>
      <w:r w:rsidR="00824985" w:rsidRPr="00B66C33">
        <w:rPr>
          <w:rFonts w:ascii="Arial" w:hAnsi="Arial" w:cs="Arial"/>
          <w:color w:val="1F3864" w:themeColor="accent1" w:themeShade="80"/>
          <w:sz w:val="24"/>
          <w:szCs w:val="24"/>
        </w:rPr>
        <w:t>32)</w:t>
      </w:r>
      <w:r w:rsidRPr="00B66C33">
        <w:rPr>
          <w:rFonts w:ascii="Arial" w:hAnsi="Arial" w:cs="Arial"/>
          <w:color w:val="1F3864" w:themeColor="accent1" w:themeShade="80"/>
          <w:sz w:val="24"/>
          <w:szCs w:val="24"/>
        </w:rPr>
        <w:t xml:space="preserve"> One German observational study suggested savings, but it is unlikely patient groups were comparable.</w:t>
      </w:r>
      <w:r w:rsidR="00396D84" w:rsidRPr="00B66C33">
        <w:rPr>
          <w:rFonts w:ascii="Arial" w:hAnsi="Arial" w:cs="Arial"/>
          <w:color w:val="1F3864" w:themeColor="accent1" w:themeShade="80"/>
          <w:sz w:val="24"/>
          <w:szCs w:val="24"/>
        </w:rPr>
        <w:t>(3</w:t>
      </w:r>
      <w:r w:rsidR="00824985" w:rsidRPr="00B66C33">
        <w:rPr>
          <w:rFonts w:ascii="Arial" w:hAnsi="Arial" w:cs="Arial"/>
          <w:color w:val="1F3864" w:themeColor="accent1" w:themeShade="80"/>
          <w:sz w:val="24"/>
          <w:szCs w:val="24"/>
        </w:rPr>
        <w:t>3</w:t>
      </w:r>
      <w:r w:rsidR="00396D84" w:rsidRPr="00B66C33">
        <w:rPr>
          <w:rFonts w:ascii="Arial" w:hAnsi="Arial" w:cs="Arial"/>
          <w:color w:val="1F3864" w:themeColor="accent1" w:themeShade="80"/>
          <w:sz w:val="24"/>
          <w:szCs w:val="24"/>
        </w:rPr>
        <w:t xml:space="preserve">) </w:t>
      </w:r>
    </w:p>
    <w:p w14:paraId="2471B9C4" w14:textId="14DF7DDB" w:rsidR="0043054C" w:rsidRPr="00B66C33" w:rsidRDefault="0043054C" w:rsidP="0043054C">
      <w:pPr>
        <w:rPr>
          <w:rFonts w:ascii="Arial" w:hAnsi="Arial" w:cs="Arial"/>
          <w:color w:val="1F3864" w:themeColor="accent1" w:themeShade="80"/>
          <w:sz w:val="24"/>
          <w:szCs w:val="24"/>
        </w:rPr>
      </w:pPr>
      <w:r w:rsidRPr="00B66C33">
        <w:rPr>
          <w:rFonts w:ascii="Arial" w:hAnsi="Arial" w:cs="Arial"/>
          <w:color w:val="1F3864" w:themeColor="accent1" w:themeShade="80"/>
          <w:sz w:val="24"/>
          <w:szCs w:val="24"/>
        </w:rPr>
        <w:t xml:space="preserve">Analysis of the telemetric data </w:t>
      </w:r>
      <w:r w:rsidR="00B60EFC" w:rsidRPr="00B66C33">
        <w:rPr>
          <w:rFonts w:ascii="Arial" w:hAnsi="Arial" w:cs="Arial"/>
          <w:color w:val="1F3864" w:themeColor="accent1" w:themeShade="80"/>
          <w:sz w:val="24"/>
          <w:szCs w:val="24"/>
        </w:rPr>
        <w:t xml:space="preserve">in the Scottish study </w:t>
      </w:r>
      <w:r w:rsidRPr="00B66C33">
        <w:rPr>
          <w:rFonts w:ascii="Arial" w:hAnsi="Arial" w:cs="Arial"/>
          <w:color w:val="1F3864" w:themeColor="accent1" w:themeShade="80"/>
          <w:sz w:val="24"/>
          <w:szCs w:val="24"/>
        </w:rPr>
        <w:t>showed that the algorithm in use was poorly predictive of serious exacerbations and research is now focussing on improving these algorithms.(</w:t>
      </w:r>
      <w:r w:rsidR="00BB7BE3" w:rsidRPr="00B66C33">
        <w:rPr>
          <w:rFonts w:ascii="Arial" w:hAnsi="Arial" w:cs="Arial"/>
          <w:color w:val="1F3864" w:themeColor="accent1" w:themeShade="80"/>
          <w:sz w:val="24"/>
          <w:szCs w:val="24"/>
        </w:rPr>
        <w:t>3</w:t>
      </w:r>
      <w:r w:rsidR="00C03C5E" w:rsidRPr="00B66C33">
        <w:rPr>
          <w:rFonts w:ascii="Arial" w:hAnsi="Arial" w:cs="Arial"/>
          <w:color w:val="1F3864" w:themeColor="accent1" w:themeShade="80"/>
          <w:sz w:val="24"/>
          <w:szCs w:val="24"/>
        </w:rPr>
        <w:t>4</w:t>
      </w:r>
      <w:r w:rsidRPr="00B66C33">
        <w:rPr>
          <w:rFonts w:ascii="Arial" w:hAnsi="Arial" w:cs="Arial"/>
          <w:color w:val="1F3864" w:themeColor="accent1" w:themeShade="80"/>
          <w:sz w:val="24"/>
          <w:szCs w:val="24"/>
        </w:rPr>
        <w:t xml:space="preserve">). A ‘light-touch’ variation on telemonitoring encourages the patient to take and transmit readings but leaves the patient </w:t>
      </w:r>
      <w:r w:rsidR="00B80F62" w:rsidRPr="00B66C33">
        <w:rPr>
          <w:rFonts w:ascii="Arial" w:hAnsi="Arial" w:cs="Arial"/>
          <w:color w:val="1F3864" w:themeColor="accent1" w:themeShade="80"/>
          <w:sz w:val="24"/>
          <w:szCs w:val="24"/>
        </w:rPr>
        <w:t xml:space="preserve">to </w:t>
      </w:r>
      <w:r w:rsidRPr="00B66C33">
        <w:rPr>
          <w:rFonts w:ascii="Arial" w:hAnsi="Arial" w:cs="Arial"/>
          <w:color w:val="1F3864" w:themeColor="accent1" w:themeShade="80"/>
          <w:sz w:val="24"/>
          <w:szCs w:val="24"/>
        </w:rPr>
        <w:t>self-monitor</w:t>
      </w:r>
      <w:r w:rsidR="00E34DAC" w:rsidRPr="00B66C33">
        <w:rPr>
          <w:rFonts w:ascii="Arial" w:hAnsi="Arial" w:cs="Arial"/>
          <w:color w:val="1F3864" w:themeColor="accent1" w:themeShade="80"/>
          <w:sz w:val="24"/>
          <w:szCs w:val="24"/>
        </w:rPr>
        <w:t xml:space="preserve"> and self</w:t>
      </w:r>
      <w:r w:rsidR="00B80F62" w:rsidRPr="00B66C33">
        <w:rPr>
          <w:rFonts w:ascii="Arial" w:hAnsi="Arial" w:cs="Arial"/>
          <w:color w:val="1F3864" w:themeColor="accent1" w:themeShade="80"/>
          <w:sz w:val="24"/>
          <w:szCs w:val="24"/>
        </w:rPr>
        <w:t>-</w:t>
      </w:r>
      <w:r w:rsidR="00E34DAC" w:rsidRPr="00B66C33">
        <w:rPr>
          <w:rFonts w:ascii="Arial" w:hAnsi="Arial" w:cs="Arial"/>
          <w:color w:val="1F3864" w:themeColor="accent1" w:themeShade="80"/>
          <w:sz w:val="24"/>
          <w:szCs w:val="24"/>
        </w:rPr>
        <w:t xml:space="preserve">manage and </w:t>
      </w:r>
      <w:r w:rsidRPr="00B66C33">
        <w:rPr>
          <w:rFonts w:ascii="Arial" w:hAnsi="Arial" w:cs="Arial"/>
          <w:color w:val="1F3864" w:themeColor="accent1" w:themeShade="80"/>
          <w:sz w:val="24"/>
          <w:szCs w:val="24"/>
        </w:rPr>
        <w:t>to call the clinician only if problems arise. The clinician can then make use of the collected data to advise the patient. Observational studies seem to suggest this is successful in terms of reducing workload (</w:t>
      </w:r>
      <w:r w:rsidR="00BB7BE3" w:rsidRPr="00B66C33">
        <w:rPr>
          <w:rFonts w:ascii="Arial" w:hAnsi="Arial" w:cs="Arial"/>
          <w:color w:val="1F3864" w:themeColor="accent1" w:themeShade="80"/>
          <w:sz w:val="24"/>
          <w:szCs w:val="24"/>
        </w:rPr>
        <w:t>3</w:t>
      </w:r>
      <w:r w:rsidR="00C03C5E" w:rsidRPr="00B66C33">
        <w:rPr>
          <w:rFonts w:ascii="Arial" w:hAnsi="Arial" w:cs="Arial"/>
          <w:color w:val="1F3864" w:themeColor="accent1" w:themeShade="80"/>
          <w:sz w:val="24"/>
          <w:szCs w:val="24"/>
        </w:rPr>
        <w:t>5</w:t>
      </w:r>
      <w:r w:rsidRPr="00B66C33">
        <w:rPr>
          <w:rFonts w:ascii="Arial" w:hAnsi="Arial" w:cs="Arial"/>
          <w:color w:val="1F3864" w:themeColor="accent1" w:themeShade="80"/>
          <w:sz w:val="24"/>
          <w:szCs w:val="24"/>
        </w:rPr>
        <w:t xml:space="preserve">) and a large observational study in Scotland (DYNAMIC-SCOT) is underway. </w:t>
      </w:r>
      <w:r w:rsidR="00BB7BE3" w:rsidRPr="00B66C33">
        <w:rPr>
          <w:rFonts w:ascii="Arial" w:hAnsi="Arial" w:cs="Arial"/>
          <w:color w:val="1F3864" w:themeColor="accent1" w:themeShade="80"/>
          <w:sz w:val="24"/>
          <w:szCs w:val="24"/>
        </w:rPr>
        <w:t>(3</w:t>
      </w:r>
      <w:r w:rsidR="00C03C5E" w:rsidRPr="00B66C33">
        <w:rPr>
          <w:rFonts w:ascii="Arial" w:hAnsi="Arial" w:cs="Arial"/>
          <w:color w:val="1F3864" w:themeColor="accent1" w:themeShade="80"/>
          <w:sz w:val="24"/>
          <w:szCs w:val="24"/>
        </w:rPr>
        <w:t>6</w:t>
      </w:r>
      <w:r w:rsidR="00BB7BE3" w:rsidRPr="00B66C33">
        <w:rPr>
          <w:rFonts w:ascii="Arial" w:hAnsi="Arial" w:cs="Arial"/>
          <w:color w:val="1F3864" w:themeColor="accent1" w:themeShade="80"/>
          <w:sz w:val="24"/>
          <w:szCs w:val="24"/>
        </w:rPr>
        <w:t>)</w:t>
      </w:r>
    </w:p>
    <w:p w14:paraId="0AF1FFB4" w14:textId="06D9EB54" w:rsidR="0043054C" w:rsidRPr="00B66C33" w:rsidRDefault="0017269F" w:rsidP="0043054C">
      <w:pPr>
        <w:rPr>
          <w:rFonts w:ascii="Arial" w:hAnsi="Arial" w:cs="Arial"/>
          <w:b/>
          <w:bCs/>
          <w:color w:val="1F3864" w:themeColor="accent1" w:themeShade="80"/>
          <w:sz w:val="24"/>
          <w:szCs w:val="24"/>
        </w:rPr>
      </w:pPr>
      <w:r w:rsidRPr="00B66C33">
        <w:rPr>
          <w:rFonts w:ascii="Arial" w:hAnsi="Arial" w:cs="Arial"/>
          <w:b/>
          <w:bCs/>
          <w:color w:val="1F3864" w:themeColor="accent1" w:themeShade="80"/>
          <w:sz w:val="24"/>
          <w:szCs w:val="24"/>
        </w:rPr>
        <w:t xml:space="preserve">Verdict: There is little evidence that continuous </w:t>
      </w:r>
      <w:r w:rsidR="00E34DAC" w:rsidRPr="00B66C33">
        <w:rPr>
          <w:rFonts w:ascii="Arial" w:hAnsi="Arial" w:cs="Arial"/>
          <w:b/>
          <w:bCs/>
          <w:color w:val="1F3864" w:themeColor="accent1" w:themeShade="80"/>
          <w:sz w:val="24"/>
          <w:szCs w:val="24"/>
        </w:rPr>
        <w:t xml:space="preserve">clinician </w:t>
      </w:r>
      <w:r w:rsidRPr="00B66C33">
        <w:rPr>
          <w:rFonts w:ascii="Arial" w:hAnsi="Arial" w:cs="Arial"/>
          <w:b/>
          <w:bCs/>
          <w:color w:val="1F3864" w:themeColor="accent1" w:themeShade="80"/>
          <w:sz w:val="24"/>
          <w:szCs w:val="24"/>
        </w:rPr>
        <w:t xml:space="preserve">telemonitoring of COPD </w:t>
      </w:r>
      <w:r w:rsidR="00E34DAC" w:rsidRPr="00B66C33">
        <w:rPr>
          <w:rFonts w:ascii="Arial" w:hAnsi="Arial" w:cs="Arial"/>
          <w:b/>
          <w:bCs/>
          <w:color w:val="1F3864" w:themeColor="accent1" w:themeShade="80"/>
          <w:sz w:val="24"/>
          <w:szCs w:val="24"/>
        </w:rPr>
        <w:t>provides better outcomes than usual care</w:t>
      </w:r>
      <w:r w:rsidRPr="00B66C33">
        <w:rPr>
          <w:rFonts w:ascii="Arial" w:hAnsi="Arial" w:cs="Arial"/>
          <w:b/>
          <w:bCs/>
          <w:color w:val="1F3864" w:themeColor="accent1" w:themeShade="80"/>
          <w:sz w:val="24"/>
          <w:szCs w:val="24"/>
        </w:rPr>
        <w:t xml:space="preserve">. </w:t>
      </w:r>
      <w:r w:rsidR="00E34DAC" w:rsidRPr="00B66C33">
        <w:rPr>
          <w:rFonts w:ascii="Arial" w:hAnsi="Arial" w:cs="Arial"/>
          <w:b/>
          <w:bCs/>
          <w:color w:val="1F3864" w:themeColor="accent1" w:themeShade="80"/>
          <w:sz w:val="24"/>
          <w:szCs w:val="24"/>
        </w:rPr>
        <w:t>There is some observational evidence that t</w:t>
      </w:r>
      <w:r w:rsidRPr="00B66C33">
        <w:rPr>
          <w:rFonts w:ascii="Arial" w:hAnsi="Arial" w:cs="Arial"/>
          <w:b/>
          <w:bCs/>
          <w:color w:val="1F3864" w:themeColor="accent1" w:themeShade="80"/>
          <w:sz w:val="24"/>
          <w:szCs w:val="24"/>
        </w:rPr>
        <w:t>he use of self-monitoring</w:t>
      </w:r>
      <w:r w:rsidR="00E34DAC" w:rsidRPr="00B66C33">
        <w:rPr>
          <w:rFonts w:ascii="Arial" w:hAnsi="Arial" w:cs="Arial"/>
          <w:b/>
          <w:bCs/>
          <w:color w:val="1F3864" w:themeColor="accent1" w:themeShade="80"/>
          <w:sz w:val="24"/>
          <w:szCs w:val="24"/>
        </w:rPr>
        <w:t xml:space="preserve"> to aid self-management and which uses</w:t>
      </w:r>
      <w:r w:rsidRPr="00B66C33">
        <w:rPr>
          <w:rFonts w:ascii="Arial" w:hAnsi="Arial" w:cs="Arial"/>
          <w:b/>
          <w:bCs/>
          <w:color w:val="1F3864" w:themeColor="accent1" w:themeShade="80"/>
          <w:sz w:val="24"/>
          <w:szCs w:val="24"/>
        </w:rPr>
        <w:t xml:space="preserve"> forwarded data to aid review may be </w:t>
      </w:r>
      <w:r w:rsidR="00E34DAC" w:rsidRPr="00B66C33">
        <w:rPr>
          <w:rFonts w:ascii="Arial" w:hAnsi="Arial" w:cs="Arial"/>
          <w:b/>
          <w:bCs/>
          <w:color w:val="1F3864" w:themeColor="accent1" w:themeShade="80"/>
          <w:sz w:val="24"/>
          <w:szCs w:val="24"/>
        </w:rPr>
        <w:t>helpful.</w:t>
      </w:r>
      <w:r w:rsidRPr="00B66C33">
        <w:rPr>
          <w:rFonts w:ascii="Arial" w:hAnsi="Arial" w:cs="Arial"/>
          <w:b/>
          <w:bCs/>
          <w:color w:val="1F3864" w:themeColor="accent1" w:themeShade="80"/>
          <w:sz w:val="24"/>
          <w:szCs w:val="24"/>
        </w:rPr>
        <w:t xml:space="preserve"> </w:t>
      </w:r>
      <w:r w:rsidR="0024072A" w:rsidRPr="00B66C33">
        <w:rPr>
          <w:rFonts w:ascii="Arial" w:hAnsi="Arial" w:cs="Arial"/>
          <w:b/>
          <w:bCs/>
          <w:color w:val="1F3864" w:themeColor="accent1" w:themeShade="80"/>
          <w:sz w:val="24"/>
          <w:szCs w:val="24"/>
        </w:rPr>
        <w:t xml:space="preserve"> </w:t>
      </w:r>
      <w:r w:rsidR="00E34DAC" w:rsidRPr="00B66C33">
        <w:rPr>
          <w:rFonts w:ascii="Arial" w:hAnsi="Arial" w:cs="Arial"/>
          <w:b/>
          <w:bCs/>
          <w:color w:val="1F3864" w:themeColor="accent1" w:themeShade="80"/>
          <w:sz w:val="24"/>
          <w:szCs w:val="24"/>
        </w:rPr>
        <w:t>Such developments show promise but should</w:t>
      </w:r>
      <w:r w:rsidRPr="00B66C33">
        <w:rPr>
          <w:rFonts w:ascii="Arial" w:hAnsi="Arial" w:cs="Arial"/>
          <w:b/>
          <w:bCs/>
          <w:color w:val="1F3864" w:themeColor="accent1" w:themeShade="80"/>
          <w:sz w:val="24"/>
          <w:szCs w:val="24"/>
        </w:rPr>
        <w:t xml:space="preserve"> be scaled-up only in the context of an evaluative framework. </w:t>
      </w:r>
    </w:p>
    <w:p w14:paraId="13B4DA7C" w14:textId="1C2E8444" w:rsidR="0017269F" w:rsidRPr="00B66C33" w:rsidRDefault="0017269F" w:rsidP="0043054C">
      <w:pPr>
        <w:rPr>
          <w:rFonts w:ascii="Arial" w:hAnsi="Arial" w:cs="Arial"/>
          <w:b/>
          <w:bCs/>
          <w:color w:val="1F3864" w:themeColor="accent1" w:themeShade="80"/>
          <w:sz w:val="24"/>
          <w:szCs w:val="24"/>
        </w:rPr>
      </w:pPr>
    </w:p>
    <w:p w14:paraId="1E49A873" w14:textId="77777777" w:rsidR="007B12D5" w:rsidRPr="00B66C33" w:rsidRDefault="007B12D5">
      <w:pPr>
        <w:spacing w:after="160" w:line="259" w:lineRule="auto"/>
        <w:rPr>
          <w:rFonts w:ascii="Arial" w:hAnsi="Arial" w:cs="Arial"/>
          <w:b/>
          <w:bCs/>
          <w:color w:val="1F3864" w:themeColor="accent1" w:themeShade="80"/>
          <w:sz w:val="24"/>
          <w:szCs w:val="24"/>
        </w:rPr>
      </w:pPr>
      <w:r w:rsidRPr="00B66C33">
        <w:rPr>
          <w:rFonts w:ascii="Arial" w:hAnsi="Arial" w:cs="Arial"/>
          <w:b/>
          <w:bCs/>
          <w:color w:val="1F3864" w:themeColor="accent1" w:themeShade="80"/>
          <w:sz w:val="24"/>
          <w:szCs w:val="24"/>
        </w:rPr>
        <w:br w:type="page"/>
      </w:r>
    </w:p>
    <w:p w14:paraId="3F94E78A" w14:textId="1FDDE291" w:rsidR="0017269F" w:rsidRPr="00B66C33" w:rsidRDefault="00BB7BE3" w:rsidP="0043054C">
      <w:pPr>
        <w:rPr>
          <w:rFonts w:ascii="Arial" w:hAnsi="Arial" w:cs="Arial"/>
          <w:b/>
          <w:bCs/>
          <w:color w:val="1F3864" w:themeColor="accent1" w:themeShade="80"/>
          <w:sz w:val="24"/>
          <w:szCs w:val="24"/>
        </w:rPr>
      </w:pPr>
      <w:r w:rsidRPr="00B66C33">
        <w:rPr>
          <w:rFonts w:ascii="Arial" w:hAnsi="Arial" w:cs="Arial"/>
          <w:b/>
          <w:bCs/>
          <w:color w:val="1F3864" w:themeColor="accent1" w:themeShade="80"/>
          <w:sz w:val="24"/>
          <w:szCs w:val="24"/>
        </w:rPr>
        <w:t>REFERENCES</w:t>
      </w:r>
    </w:p>
    <w:p w14:paraId="5B6A6A3F" w14:textId="2385402B" w:rsidR="0043054C" w:rsidRPr="00B66C33" w:rsidRDefault="0043054C" w:rsidP="0043054C">
      <w:pPr>
        <w:pStyle w:val="ListParagraph"/>
        <w:numPr>
          <w:ilvl w:val="0"/>
          <w:numId w:val="1"/>
        </w:numPr>
        <w:spacing w:after="0"/>
        <w:contextualSpacing w:val="0"/>
        <w:rPr>
          <w:rFonts w:ascii="Arial" w:hAnsi="Arial" w:cs="Arial"/>
          <w:color w:val="1F3864" w:themeColor="accent1" w:themeShade="80"/>
          <w:sz w:val="24"/>
          <w:szCs w:val="24"/>
        </w:rPr>
      </w:pPr>
      <w:r w:rsidRPr="00B66C33">
        <w:rPr>
          <w:rFonts w:ascii="Arial" w:hAnsi="Arial" w:cs="Arial"/>
          <w:color w:val="1F3864" w:themeColor="accent1" w:themeShade="80"/>
          <w:sz w:val="24"/>
          <w:szCs w:val="24"/>
        </w:rPr>
        <w:t>Omboni S</w:t>
      </w:r>
      <w:r w:rsidR="00D427DB" w:rsidRPr="00B66C33">
        <w:rPr>
          <w:rFonts w:ascii="Arial" w:hAnsi="Arial" w:cs="Arial"/>
          <w:color w:val="1F3864" w:themeColor="accent1" w:themeShade="80"/>
          <w:sz w:val="24"/>
          <w:szCs w:val="24"/>
        </w:rPr>
        <w:t xml:space="preserve"> et al.</w:t>
      </w:r>
      <w:r w:rsidRPr="00B66C33">
        <w:rPr>
          <w:rFonts w:ascii="Arial" w:hAnsi="Arial" w:cs="Arial"/>
          <w:color w:val="1F3864" w:themeColor="accent1" w:themeShade="80"/>
          <w:sz w:val="24"/>
          <w:szCs w:val="24"/>
        </w:rPr>
        <w:t xml:space="preserve"> Clinical usefulness and cost effectiveness of home blood pressure telemonitoring: meta-analysis of randomized controlled studies. J </w:t>
      </w:r>
      <w:proofErr w:type="spellStart"/>
      <w:r w:rsidRPr="00B66C33">
        <w:rPr>
          <w:rFonts w:ascii="Arial" w:hAnsi="Arial" w:cs="Arial"/>
          <w:color w:val="1F3864" w:themeColor="accent1" w:themeShade="80"/>
          <w:sz w:val="24"/>
          <w:szCs w:val="24"/>
        </w:rPr>
        <w:t>Hypertens</w:t>
      </w:r>
      <w:proofErr w:type="spellEnd"/>
      <w:r w:rsidRPr="00B66C33">
        <w:rPr>
          <w:rFonts w:ascii="Arial" w:hAnsi="Arial" w:cs="Arial"/>
          <w:color w:val="1F3864" w:themeColor="accent1" w:themeShade="80"/>
          <w:sz w:val="24"/>
          <w:szCs w:val="24"/>
        </w:rPr>
        <w:t>. 2013;31(3):455-67</w:t>
      </w:r>
    </w:p>
    <w:p w14:paraId="7FC4B1EC" w14:textId="1F4BF422" w:rsidR="00496D1E" w:rsidRPr="00B66C33" w:rsidRDefault="00D427DB" w:rsidP="002D495A">
      <w:pPr>
        <w:pStyle w:val="ListParagraph"/>
        <w:numPr>
          <w:ilvl w:val="0"/>
          <w:numId w:val="1"/>
        </w:numPr>
        <w:spacing w:after="0"/>
        <w:contextualSpacing w:val="0"/>
        <w:rPr>
          <w:rFonts w:ascii="Arial" w:hAnsi="Arial" w:cs="Arial"/>
          <w:color w:val="1F3864" w:themeColor="accent1" w:themeShade="80"/>
          <w:sz w:val="24"/>
          <w:szCs w:val="24"/>
        </w:rPr>
      </w:pPr>
      <w:bookmarkStart w:id="0" w:name="OLE_LINK2932"/>
      <w:bookmarkStart w:id="1" w:name="OLE_LINK2564"/>
      <w:bookmarkStart w:id="2" w:name="OLE_LINK1771"/>
      <w:bookmarkStart w:id="3" w:name="OLE_LINK4744"/>
      <w:bookmarkStart w:id="4" w:name="OLE_LINK4964"/>
      <w:bookmarkStart w:id="5" w:name="OLE_LINK5557"/>
      <w:bookmarkStart w:id="6" w:name="OLE_LINK4662"/>
      <w:bookmarkStart w:id="7" w:name="OLE_LINK4581"/>
      <w:bookmarkStart w:id="8" w:name="OLE_LINK4094"/>
      <w:bookmarkStart w:id="9" w:name="OLE_LINK4045"/>
      <w:bookmarkStart w:id="10" w:name="OLE_LINK4090"/>
      <w:bookmarkStart w:id="11" w:name="OLE_LINK4400"/>
      <w:bookmarkStart w:id="12" w:name="OLE_LINK4489"/>
      <w:bookmarkStart w:id="13" w:name="OLE_LINK4102"/>
      <w:bookmarkStart w:id="14" w:name="OLE_LINK3880"/>
      <w:bookmarkStart w:id="15" w:name="OLE_LINK3786"/>
      <w:bookmarkStart w:id="16" w:name="OLE_LINK3652"/>
      <w:bookmarkStart w:id="17" w:name="OLE_LINK3620"/>
      <w:bookmarkStart w:id="18" w:name="OLE_LINK3819"/>
      <w:bookmarkStart w:id="19" w:name="OLE_LINK3396"/>
      <w:bookmarkStart w:id="20" w:name="OLE_LINK1905"/>
      <w:bookmarkStart w:id="21" w:name="OLE_LINK3334"/>
      <w:bookmarkStart w:id="22" w:name="OLE_LINK3156"/>
      <w:bookmarkStart w:id="23" w:name="OLE_LINK3155"/>
      <w:bookmarkStart w:id="24" w:name="OLE_LINK3117"/>
      <w:bookmarkStart w:id="25" w:name="OLE_LINK2971"/>
      <w:bookmarkStart w:id="26" w:name="OLE_LINK2962"/>
      <w:bookmarkStart w:id="27" w:name="OLE_LINK2925"/>
      <w:bookmarkStart w:id="28" w:name="OLE_LINK2833"/>
      <w:bookmarkStart w:id="29" w:name="OLE_LINK2703"/>
      <w:bookmarkStart w:id="30" w:name="OLE_LINK2421"/>
      <w:bookmarkStart w:id="31" w:name="OLE_LINK2279"/>
      <w:bookmarkStart w:id="32" w:name="OLE_LINK2273"/>
      <w:bookmarkStart w:id="33" w:name="OLE_LINK2163"/>
      <w:bookmarkStart w:id="34" w:name="OLE_LINK2088"/>
      <w:bookmarkStart w:id="35" w:name="OLE_LINK1679"/>
      <w:bookmarkStart w:id="36" w:name="OLE_LINK1655"/>
      <w:bookmarkStart w:id="37" w:name="OLE_LINK1654"/>
      <w:r w:rsidRPr="00B66C33">
        <w:rPr>
          <w:rFonts w:ascii="Arial" w:eastAsia="Times New Roman" w:hAnsi="Arial" w:cs="Arial"/>
          <w:color w:val="1F3864" w:themeColor="accent1" w:themeShade="80"/>
          <w:sz w:val="24"/>
          <w:szCs w:val="24"/>
          <w:lang w:val="en-US"/>
        </w:rPr>
        <w:t xml:space="preserve">Pinnock Het al.  </w:t>
      </w:r>
      <w:bookmarkStart w:id="38" w:name="OLE_LINK2701"/>
      <w:bookmarkStart w:id="39" w:name="OLE_LINK2702"/>
      <w:bookmarkStart w:id="40" w:name="OLE_LINK3159"/>
      <w:bookmarkStart w:id="41" w:name="OLE_LINK3162"/>
      <w:r w:rsidRPr="00B66C33">
        <w:rPr>
          <w:rFonts w:ascii="Arial" w:eastAsia="Times New Roman" w:hAnsi="Arial" w:cs="Arial"/>
          <w:color w:val="1F3864" w:themeColor="accent1" w:themeShade="80"/>
          <w:sz w:val="24"/>
          <w:szCs w:val="24"/>
          <w:lang w:val="en-US"/>
        </w:rPr>
        <w:t>Systematic meta-review of supported self-management for asthma: a healthcare service perspective</w:t>
      </w:r>
      <w:bookmarkEnd w:id="38"/>
      <w:bookmarkEnd w:id="39"/>
      <w:r w:rsidRPr="00B66C33">
        <w:rPr>
          <w:rFonts w:ascii="Arial" w:eastAsia="Times New Roman" w:hAnsi="Arial" w:cs="Arial"/>
          <w:color w:val="1F3864" w:themeColor="accent1" w:themeShade="80"/>
          <w:sz w:val="24"/>
          <w:szCs w:val="24"/>
          <w:lang w:val="en-US"/>
        </w:rPr>
        <w:t xml:space="preserve">. </w:t>
      </w:r>
      <w:bookmarkStart w:id="42" w:name="OLE_LINK3116"/>
      <w:bookmarkStart w:id="43" w:name="OLE_LINK2708"/>
      <w:bookmarkStart w:id="44" w:name="OLE_LINK2707"/>
      <w:r w:rsidRPr="00B66C33">
        <w:rPr>
          <w:rFonts w:ascii="Arial" w:eastAsia="Times New Roman" w:hAnsi="Arial" w:cs="Arial"/>
          <w:i/>
          <w:iCs/>
          <w:color w:val="1F3864" w:themeColor="accent1" w:themeShade="80"/>
          <w:sz w:val="24"/>
          <w:szCs w:val="24"/>
          <w:lang w:val="en-US"/>
        </w:rPr>
        <w:t xml:space="preserve">BMC Medicine  </w:t>
      </w:r>
      <w:r w:rsidRPr="00B66C33">
        <w:rPr>
          <w:rFonts w:ascii="Arial" w:eastAsia="Times New Roman" w:hAnsi="Arial" w:cs="Arial"/>
          <w:color w:val="1F3864" w:themeColor="accent1" w:themeShade="80"/>
          <w:sz w:val="24"/>
          <w:szCs w:val="24"/>
          <w:lang w:val="en-US"/>
        </w:rPr>
        <w:t>2017;</w:t>
      </w:r>
      <w:bookmarkStart w:id="45" w:name="OLE_LINK3563"/>
      <w:bookmarkStart w:id="46" w:name="OLE_LINK3564"/>
      <w:r w:rsidRPr="00B66C33">
        <w:rPr>
          <w:rFonts w:ascii="Arial" w:eastAsia="Times New Roman" w:hAnsi="Arial" w:cs="Arial"/>
          <w:color w:val="1F3864" w:themeColor="accent1" w:themeShade="80"/>
          <w:sz w:val="24"/>
          <w:szCs w:val="24"/>
          <w:lang w:val="en-US"/>
        </w:rPr>
        <w:t>15:64</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40"/>
      <w:bookmarkEnd w:id="41"/>
      <w:bookmarkEnd w:id="42"/>
      <w:bookmarkEnd w:id="43"/>
      <w:bookmarkEnd w:id="44"/>
      <w:bookmarkEnd w:id="45"/>
      <w:bookmarkEnd w:id="46"/>
      <w:r w:rsidR="00496D1E" w:rsidRPr="00B66C33">
        <w:rPr>
          <w:rFonts w:ascii="Arial" w:hAnsi="Arial" w:cs="Arial"/>
          <w:color w:val="1F3864" w:themeColor="accent1" w:themeShade="80"/>
          <w:sz w:val="24"/>
          <w:szCs w:val="24"/>
        </w:rPr>
        <w:t xml:space="preserve">   </w:t>
      </w:r>
    </w:p>
    <w:p w14:paraId="79E75AF6" w14:textId="3A48B15C" w:rsidR="00496D1E" w:rsidRPr="00B66C33" w:rsidRDefault="00496D1E" w:rsidP="00496D1E">
      <w:pPr>
        <w:pStyle w:val="ListParagraph"/>
        <w:numPr>
          <w:ilvl w:val="0"/>
          <w:numId w:val="1"/>
        </w:numPr>
        <w:spacing w:after="0"/>
        <w:contextualSpacing w:val="0"/>
        <w:rPr>
          <w:rFonts w:ascii="Arial" w:hAnsi="Arial" w:cs="Arial"/>
          <w:color w:val="1F3864" w:themeColor="accent1" w:themeShade="80"/>
          <w:sz w:val="24"/>
          <w:szCs w:val="24"/>
        </w:rPr>
      </w:pPr>
      <w:r w:rsidRPr="00B66C33">
        <w:rPr>
          <w:rFonts w:ascii="Arial" w:hAnsi="Arial" w:cs="Arial"/>
          <w:color w:val="1F3864" w:themeColor="accent1" w:themeShade="80"/>
          <w:sz w:val="24"/>
          <w:szCs w:val="24"/>
        </w:rPr>
        <w:t xml:space="preserve">Farmer A et al. Impact of </w:t>
      </w:r>
      <w:proofErr w:type="spellStart"/>
      <w:r w:rsidRPr="00B66C33">
        <w:rPr>
          <w:rFonts w:ascii="Arial" w:hAnsi="Arial" w:cs="Arial"/>
          <w:color w:val="1F3864" w:themeColor="accent1" w:themeShade="80"/>
          <w:sz w:val="24"/>
          <w:szCs w:val="24"/>
        </w:rPr>
        <w:t>self monitoring</w:t>
      </w:r>
      <w:proofErr w:type="spellEnd"/>
      <w:r w:rsidRPr="00B66C33">
        <w:rPr>
          <w:rFonts w:ascii="Arial" w:hAnsi="Arial" w:cs="Arial"/>
          <w:color w:val="1F3864" w:themeColor="accent1" w:themeShade="80"/>
          <w:sz w:val="24"/>
          <w:szCs w:val="24"/>
        </w:rPr>
        <w:t xml:space="preserve"> of blood glucose in the management of patients with non-insulin treated diabetes: open parallel group randomised trial. BMJ. 2007;335(7611):132</w:t>
      </w:r>
    </w:p>
    <w:p w14:paraId="0CAFCB2B" w14:textId="28A433C3" w:rsidR="00496D1E" w:rsidRPr="00B66C33" w:rsidRDefault="00496D1E" w:rsidP="00496D1E">
      <w:pPr>
        <w:pStyle w:val="ListParagraph"/>
        <w:numPr>
          <w:ilvl w:val="0"/>
          <w:numId w:val="1"/>
        </w:numPr>
        <w:spacing w:after="0"/>
        <w:contextualSpacing w:val="0"/>
        <w:rPr>
          <w:rFonts w:ascii="Arial" w:hAnsi="Arial" w:cs="Arial"/>
          <w:color w:val="1F3864" w:themeColor="accent1" w:themeShade="80"/>
          <w:sz w:val="24"/>
          <w:szCs w:val="24"/>
        </w:rPr>
      </w:pPr>
      <w:r w:rsidRPr="00B66C33">
        <w:rPr>
          <w:rFonts w:ascii="Arial" w:hAnsi="Arial" w:cs="Arial"/>
          <w:color w:val="1F3864" w:themeColor="accent1" w:themeShade="80"/>
          <w:sz w:val="24"/>
          <w:szCs w:val="24"/>
        </w:rPr>
        <w:t>Peel E</w:t>
      </w:r>
      <w:r w:rsidR="00D427DB" w:rsidRPr="00B66C33">
        <w:rPr>
          <w:rFonts w:ascii="Arial" w:hAnsi="Arial" w:cs="Arial"/>
          <w:color w:val="1F3864" w:themeColor="accent1" w:themeShade="80"/>
          <w:sz w:val="24"/>
          <w:szCs w:val="24"/>
        </w:rPr>
        <w:t xml:space="preserve"> et al</w:t>
      </w:r>
      <w:r w:rsidRPr="00B66C33">
        <w:rPr>
          <w:rFonts w:ascii="Arial" w:hAnsi="Arial" w:cs="Arial"/>
          <w:color w:val="1F3864" w:themeColor="accent1" w:themeShade="80"/>
          <w:sz w:val="24"/>
          <w:szCs w:val="24"/>
        </w:rPr>
        <w:t xml:space="preserve">. Blood glucose self-monitoring in non-insulin-treated type 2 diabetes: a qualitative study of patients' perspectives. Br J Gen </w:t>
      </w:r>
      <w:proofErr w:type="spellStart"/>
      <w:r w:rsidRPr="00B66C33">
        <w:rPr>
          <w:rFonts w:ascii="Arial" w:hAnsi="Arial" w:cs="Arial"/>
          <w:color w:val="1F3864" w:themeColor="accent1" w:themeShade="80"/>
          <w:sz w:val="24"/>
          <w:szCs w:val="24"/>
        </w:rPr>
        <w:t>Pract</w:t>
      </w:r>
      <w:proofErr w:type="spellEnd"/>
      <w:r w:rsidRPr="00B66C33">
        <w:rPr>
          <w:rFonts w:ascii="Arial" w:hAnsi="Arial" w:cs="Arial"/>
          <w:color w:val="1F3864" w:themeColor="accent1" w:themeShade="80"/>
          <w:sz w:val="24"/>
          <w:szCs w:val="24"/>
        </w:rPr>
        <w:t>. 2004;54(500):183-8</w:t>
      </w:r>
    </w:p>
    <w:p w14:paraId="7B0114EB" w14:textId="77777777" w:rsidR="00496D1E" w:rsidRPr="00B66C33" w:rsidRDefault="00496D1E" w:rsidP="00496D1E">
      <w:pPr>
        <w:pStyle w:val="ListParagraph"/>
        <w:numPr>
          <w:ilvl w:val="0"/>
          <w:numId w:val="1"/>
        </w:numPr>
        <w:spacing w:after="0"/>
        <w:contextualSpacing w:val="0"/>
        <w:rPr>
          <w:rFonts w:ascii="Arial" w:hAnsi="Arial" w:cs="Arial"/>
          <w:color w:val="1F3864" w:themeColor="accent1" w:themeShade="80"/>
          <w:sz w:val="24"/>
          <w:szCs w:val="24"/>
        </w:rPr>
      </w:pPr>
      <w:r w:rsidRPr="00B66C33">
        <w:rPr>
          <w:rFonts w:ascii="Arial" w:hAnsi="Arial" w:cs="Arial"/>
          <w:color w:val="1F3864" w:themeColor="accent1" w:themeShade="80"/>
          <w:sz w:val="24"/>
          <w:szCs w:val="24"/>
        </w:rPr>
        <w:t>ISD. GP Consultations / Practice Team Information (PTI) Statistics http://www.isdscotland.org/Health-Topics/General-Practice/GP-consultations/ Last Accessed 17/03/20</w:t>
      </w:r>
    </w:p>
    <w:p w14:paraId="3C80B0CA" w14:textId="5A420998" w:rsidR="00496D1E" w:rsidRPr="00B66C33" w:rsidRDefault="00496D1E" w:rsidP="00496D1E">
      <w:pPr>
        <w:pStyle w:val="ListParagraph"/>
        <w:numPr>
          <w:ilvl w:val="0"/>
          <w:numId w:val="1"/>
        </w:numPr>
        <w:spacing w:after="0"/>
        <w:contextualSpacing w:val="0"/>
        <w:rPr>
          <w:rFonts w:ascii="Arial" w:hAnsi="Arial" w:cs="Arial"/>
          <w:color w:val="1F3864" w:themeColor="accent1" w:themeShade="80"/>
          <w:sz w:val="24"/>
          <w:szCs w:val="24"/>
        </w:rPr>
      </w:pPr>
      <w:r w:rsidRPr="00B66C33">
        <w:rPr>
          <w:rFonts w:ascii="Arial" w:hAnsi="Arial" w:cs="Arial"/>
          <w:color w:val="1F3864" w:themeColor="accent1" w:themeShade="80"/>
          <w:sz w:val="24"/>
          <w:szCs w:val="24"/>
          <w:shd w:val="clear" w:color="auto" w:fill="FFFFFF"/>
        </w:rPr>
        <w:t>Tucker KL</w:t>
      </w:r>
      <w:r w:rsidR="00D427DB" w:rsidRPr="00B66C33">
        <w:rPr>
          <w:rFonts w:ascii="Arial" w:hAnsi="Arial" w:cs="Arial"/>
          <w:color w:val="1F3864" w:themeColor="accent1" w:themeShade="80"/>
          <w:sz w:val="24"/>
          <w:szCs w:val="24"/>
          <w:shd w:val="clear" w:color="auto" w:fill="FFFFFF"/>
        </w:rPr>
        <w:t xml:space="preserve"> e</w:t>
      </w:r>
      <w:r w:rsidRPr="00B66C33">
        <w:rPr>
          <w:rFonts w:ascii="Arial" w:hAnsi="Arial" w:cs="Arial"/>
          <w:color w:val="1F3864" w:themeColor="accent1" w:themeShade="80"/>
          <w:sz w:val="24"/>
          <w:szCs w:val="24"/>
          <w:shd w:val="clear" w:color="auto" w:fill="FFFFFF"/>
        </w:rPr>
        <w:t>t al. </w:t>
      </w:r>
      <w:r w:rsidRPr="00B66C33">
        <w:rPr>
          <w:rStyle w:val="Title1"/>
          <w:rFonts w:ascii="Arial" w:hAnsi="Arial" w:cs="Arial"/>
          <w:color w:val="1F3864" w:themeColor="accent1" w:themeShade="80"/>
          <w:sz w:val="24"/>
          <w:szCs w:val="24"/>
          <w:shd w:val="clear" w:color="auto" w:fill="FFFFFF"/>
        </w:rPr>
        <w:t>Self-monitoring of blood pressure in hypertension: A systematic review and individual patient data meta-analysis</w:t>
      </w:r>
      <w:r w:rsidRPr="00B66C33">
        <w:rPr>
          <w:rFonts w:ascii="Arial" w:hAnsi="Arial" w:cs="Arial"/>
          <w:color w:val="1F3864" w:themeColor="accent1" w:themeShade="80"/>
          <w:sz w:val="24"/>
          <w:szCs w:val="24"/>
          <w:shd w:val="clear" w:color="auto" w:fill="FFFFFF"/>
        </w:rPr>
        <w:t>. PLOS Medicine. 2017 Sep 19;14(9):e1002389. </w:t>
      </w:r>
    </w:p>
    <w:p w14:paraId="1BE16102" w14:textId="6A682323" w:rsidR="00496D1E" w:rsidRPr="00B66C33" w:rsidRDefault="00496D1E" w:rsidP="00496D1E">
      <w:pPr>
        <w:pStyle w:val="ListParagraph"/>
        <w:numPr>
          <w:ilvl w:val="0"/>
          <w:numId w:val="1"/>
        </w:numPr>
        <w:spacing w:after="0"/>
        <w:contextualSpacing w:val="0"/>
        <w:rPr>
          <w:rFonts w:ascii="Arial" w:hAnsi="Arial" w:cs="Arial"/>
          <w:color w:val="1F3864" w:themeColor="accent1" w:themeShade="80"/>
          <w:sz w:val="24"/>
          <w:szCs w:val="24"/>
        </w:rPr>
      </w:pPr>
      <w:r w:rsidRPr="00B66C33">
        <w:rPr>
          <w:rFonts w:ascii="Arial" w:hAnsi="Arial" w:cs="Arial"/>
          <w:color w:val="1F3864" w:themeColor="accent1" w:themeShade="80"/>
          <w:sz w:val="24"/>
          <w:szCs w:val="24"/>
        </w:rPr>
        <w:t>McKinstry B</w:t>
      </w:r>
      <w:r w:rsidR="00D427DB" w:rsidRPr="00B66C33">
        <w:rPr>
          <w:rFonts w:ascii="Arial" w:hAnsi="Arial" w:cs="Arial"/>
          <w:color w:val="1F3864" w:themeColor="accent1" w:themeShade="80"/>
          <w:sz w:val="24"/>
          <w:szCs w:val="24"/>
        </w:rPr>
        <w:t xml:space="preserve"> et al</w:t>
      </w:r>
      <w:r w:rsidRPr="00B66C33">
        <w:rPr>
          <w:rFonts w:ascii="Arial" w:hAnsi="Arial" w:cs="Arial"/>
          <w:color w:val="1F3864" w:themeColor="accent1" w:themeShade="80"/>
          <w:sz w:val="24"/>
          <w:szCs w:val="24"/>
        </w:rPr>
        <w:t>. Telemonitoring based service redesign for the management of uncontrolled hypertension: multicentre randomised controlled trial. BMJ 346, f3030</w:t>
      </w:r>
    </w:p>
    <w:p w14:paraId="0895B512" w14:textId="1DCCA74D" w:rsidR="00496D1E" w:rsidRPr="00B66C33" w:rsidRDefault="00496D1E" w:rsidP="00D427DB">
      <w:pPr>
        <w:pStyle w:val="CommentText"/>
        <w:numPr>
          <w:ilvl w:val="0"/>
          <w:numId w:val="1"/>
        </w:numPr>
        <w:spacing w:after="0"/>
        <w:rPr>
          <w:rFonts w:ascii="Arial" w:hAnsi="Arial" w:cs="Arial"/>
          <w:color w:val="1F3864" w:themeColor="accent1" w:themeShade="80"/>
          <w:sz w:val="24"/>
          <w:szCs w:val="24"/>
        </w:rPr>
      </w:pPr>
      <w:r w:rsidRPr="00B66C33">
        <w:rPr>
          <w:rFonts w:ascii="Arial" w:hAnsi="Arial" w:cs="Arial"/>
          <w:color w:val="1F3864" w:themeColor="accent1" w:themeShade="80"/>
          <w:sz w:val="24"/>
          <w:szCs w:val="24"/>
          <w:shd w:val="clear" w:color="auto" w:fill="FFFFFF"/>
        </w:rPr>
        <w:t>Hammersley V</w:t>
      </w:r>
      <w:r w:rsidR="00D427DB" w:rsidRPr="00B66C33">
        <w:rPr>
          <w:rFonts w:ascii="Arial" w:hAnsi="Arial" w:cs="Arial"/>
          <w:color w:val="1F3864" w:themeColor="accent1" w:themeShade="80"/>
          <w:sz w:val="24"/>
          <w:szCs w:val="24"/>
          <w:shd w:val="clear" w:color="auto" w:fill="FFFFFF"/>
        </w:rPr>
        <w:t xml:space="preserve"> et al</w:t>
      </w:r>
      <w:r w:rsidRPr="00B66C33">
        <w:rPr>
          <w:rFonts w:ascii="Arial" w:hAnsi="Arial" w:cs="Arial"/>
          <w:color w:val="1F3864" w:themeColor="accent1" w:themeShade="80"/>
          <w:sz w:val="24"/>
          <w:szCs w:val="24"/>
          <w:shd w:val="clear" w:color="auto" w:fill="FFFFFF"/>
        </w:rPr>
        <w:t>. Telemonitoring at scale for hypertension in primary care: An implementation study. </w:t>
      </w:r>
      <w:proofErr w:type="spellStart"/>
      <w:r w:rsidRPr="00B66C33">
        <w:rPr>
          <w:rFonts w:ascii="Arial" w:hAnsi="Arial" w:cs="Arial"/>
          <w:i/>
          <w:iCs/>
          <w:color w:val="1F3864" w:themeColor="accent1" w:themeShade="80"/>
          <w:sz w:val="24"/>
          <w:szCs w:val="24"/>
          <w:shd w:val="clear" w:color="auto" w:fill="FFFFFF"/>
        </w:rPr>
        <w:t>PLoS</w:t>
      </w:r>
      <w:proofErr w:type="spellEnd"/>
      <w:r w:rsidRPr="00B66C33">
        <w:rPr>
          <w:rFonts w:ascii="Arial" w:hAnsi="Arial" w:cs="Arial"/>
          <w:i/>
          <w:iCs/>
          <w:color w:val="1F3864" w:themeColor="accent1" w:themeShade="80"/>
          <w:sz w:val="24"/>
          <w:szCs w:val="24"/>
          <w:shd w:val="clear" w:color="auto" w:fill="FFFFFF"/>
        </w:rPr>
        <w:t xml:space="preserve"> Med</w:t>
      </w:r>
      <w:r w:rsidRPr="00B66C33">
        <w:rPr>
          <w:rFonts w:ascii="Arial" w:hAnsi="Arial" w:cs="Arial"/>
          <w:color w:val="1F3864" w:themeColor="accent1" w:themeShade="80"/>
          <w:sz w:val="24"/>
          <w:szCs w:val="24"/>
          <w:shd w:val="clear" w:color="auto" w:fill="FFFFFF"/>
        </w:rPr>
        <w:t>. 2020;17(6):e1003124. Published 2020 Jun 17. doi:10.1371/journal.pmed.1003124</w:t>
      </w:r>
    </w:p>
    <w:p w14:paraId="1684AFEF" w14:textId="2B7BB1FE" w:rsidR="00496D1E" w:rsidRPr="00B66C33" w:rsidRDefault="00496D1E" w:rsidP="00496D1E">
      <w:pPr>
        <w:pStyle w:val="ListParagraph"/>
        <w:numPr>
          <w:ilvl w:val="0"/>
          <w:numId w:val="1"/>
        </w:numPr>
        <w:spacing w:after="0"/>
        <w:contextualSpacing w:val="0"/>
        <w:rPr>
          <w:rFonts w:ascii="Arial" w:hAnsi="Arial" w:cs="Arial"/>
          <w:color w:val="1F3864" w:themeColor="accent1" w:themeShade="80"/>
          <w:sz w:val="24"/>
          <w:szCs w:val="24"/>
        </w:rPr>
      </w:pPr>
      <w:r w:rsidRPr="00B66C33">
        <w:rPr>
          <w:rFonts w:ascii="Arial" w:hAnsi="Arial" w:cs="Arial"/>
          <w:color w:val="1F3864" w:themeColor="accent1" w:themeShade="80"/>
          <w:sz w:val="24"/>
          <w:szCs w:val="24"/>
        </w:rPr>
        <w:t>Patel A</w:t>
      </w:r>
      <w:r w:rsidR="00D427DB" w:rsidRPr="00B66C33">
        <w:rPr>
          <w:rFonts w:ascii="Arial" w:hAnsi="Arial" w:cs="Arial"/>
          <w:color w:val="1F3864" w:themeColor="accent1" w:themeShade="80"/>
          <w:sz w:val="24"/>
          <w:szCs w:val="24"/>
        </w:rPr>
        <w:t xml:space="preserve"> et al </w:t>
      </w:r>
      <w:r w:rsidRPr="00B66C33">
        <w:rPr>
          <w:rFonts w:ascii="Arial" w:hAnsi="Arial" w:cs="Arial"/>
          <w:color w:val="1F3864" w:themeColor="accent1" w:themeShade="80"/>
          <w:sz w:val="24"/>
          <w:szCs w:val="24"/>
        </w:rPr>
        <w:t>(2017). Current, future and avoidable costs of stroke in the UK. Executive summary Part 1: Burden of stroke in the next 20 years and potential returns from increased spending on research. London: Stroke Association.</w:t>
      </w:r>
    </w:p>
    <w:p w14:paraId="53FF7D59" w14:textId="43682F65" w:rsidR="00496D1E" w:rsidRPr="00B66C33" w:rsidRDefault="00496D1E" w:rsidP="00496D1E">
      <w:pPr>
        <w:pStyle w:val="ListParagraph"/>
        <w:numPr>
          <w:ilvl w:val="0"/>
          <w:numId w:val="1"/>
        </w:numPr>
        <w:spacing w:after="0"/>
        <w:contextualSpacing w:val="0"/>
        <w:rPr>
          <w:rFonts w:ascii="Arial" w:hAnsi="Arial" w:cs="Arial"/>
          <w:color w:val="1F3864" w:themeColor="accent1" w:themeShade="80"/>
          <w:sz w:val="24"/>
          <w:szCs w:val="24"/>
        </w:rPr>
      </w:pPr>
      <w:proofErr w:type="spellStart"/>
      <w:r w:rsidRPr="00B66C33">
        <w:rPr>
          <w:rFonts w:ascii="Arial" w:hAnsi="Arial" w:cs="Arial"/>
          <w:color w:val="1F3864" w:themeColor="accent1" w:themeShade="80"/>
          <w:sz w:val="24"/>
          <w:szCs w:val="24"/>
        </w:rPr>
        <w:t>Monaham</w:t>
      </w:r>
      <w:proofErr w:type="spellEnd"/>
      <w:r w:rsidRPr="00B66C33">
        <w:rPr>
          <w:rFonts w:ascii="Arial" w:hAnsi="Arial" w:cs="Arial"/>
          <w:color w:val="1F3864" w:themeColor="accent1" w:themeShade="80"/>
          <w:sz w:val="24"/>
          <w:szCs w:val="24"/>
        </w:rPr>
        <w:t xml:space="preserve"> M et al. Cost-Effectiveness of Telemonitoring and Self-Monitoring of Blood Pressure for Antihypertensive Titration in Primary Care (TASMINH4). Hypertension 2019;73:1231–1239</w:t>
      </w:r>
    </w:p>
    <w:p w14:paraId="2C7F1FD2" w14:textId="59E56C72" w:rsidR="00496D1E" w:rsidRPr="00B66C33" w:rsidRDefault="00496D1E" w:rsidP="00496D1E">
      <w:pPr>
        <w:pStyle w:val="ListParagraph"/>
        <w:numPr>
          <w:ilvl w:val="0"/>
          <w:numId w:val="1"/>
        </w:numPr>
        <w:spacing w:after="0"/>
        <w:contextualSpacing w:val="0"/>
        <w:rPr>
          <w:rFonts w:ascii="Arial" w:hAnsi="Arial" w:cs="Arial"/>
          <w:color w:val="1F3864" w:themeColor="accent1" w:themeShade="80"/>
          <w:sz w:val="24"/>
          <w:szCs w:val="24"/>
          <w:u w:val="single"/>
        </w:rPr>
      </w:pPr>
      <w:r w:rsidRPr="00B66C33">
        <w:rPr>
          <w:rFonts w:ascii="Arial" w:hAnsi="Arial" w:cs="Arial"/>
          <w:color w:val="1F3864" w:themeColor="accent1" w:themeShade="80"/>
          <w:sz w:val="24"/>
          <w:szCs w:val="24"/>
        </w:rPr>
        <w:t xml:space="preserve">Padwal RS et </w:t>
      </w:r>
      <w:proofErr w:type="spellStart"/>
      <w:r w:rsidRPr="00B66C33">
        <w:rPr>
          <w:rFonts w:ascii="Arial" w:hAnsi="Arial" w:cs="Arial"/>
          <w:color w:val="1F3864" w:themeColor="accent1" w:themeShade="80"/>
          <w:sz w:val="24"/>
          <w:szCs w:val="24"/>
        </w:rPr>
        <w:t>al.Cost</w:t>
      </w:r>
      <w:proofErr w:type="spellEnd"/>
      <w:r w:rsidRPr="00B66C33">
        <w:rPr>
          <w:rFonts w:ascii="Arial" w:hAnsi="Arial" w:cs="Arial"/>
          <w:color w:val="1F3864" w:themeColor="accent1" w:themeShade="80"/>
          <w:sz w:val="24"/>
          <w:szCs w:val="24"/>
        </w:rPr>
        <w:t xml:space="preserve">-effectiveness of home blood pressure telemonitoring and case management in the secondary prevention of cerebrovascular disease in Canada. J Clin </w:t>
      </w:r>
      <w:proofErr w:type="spellStart"/>
      <w:r w:rsidRPr="00B66C33">
        <w:rPr>
          <w:rFonts w:ascii="Arial" w:hAnsi="Arial" w:cs="Arial"/>
          <w:color w:val="1F3864" w:themeColor="accent1" w:themeShade="80"/>
          <w:sz w:val="24"/>
          <w:szCs w:val="24"/>
        </w:rPr>
        <w:t>Hypertens</w:t>
      </w:r>
      <w:proofErr w:type="spellEnd"/>
      <w:r w:rsidRPr="00B66C33">
        <w:rPr>
          <w:rFonts w:ascii="Arial" w:hAnsi="Arial" w:cs="Arial"/>
          <w:color w:val="1F3864" w:themeColor="accent1" w:themeShade="80"/>
          <w:sz w:val="24"/>
          <w:szCs w:val="24"/>
        </w:rPr>
        <w:t xml:space="preserve"> 2019 </w:t>
      </w:r>
      <w:proofErr w:type="spellStart"/>
      <w:r w:rsidRPr="00B66C33">
        <w:rPr>
          <w:rFonts w:ascii="Arial" w:hAnsi="Arial" w:cs="Arial"/>
          <w:color w:val="1F3864" w:themeColor="accent1" w:themeShade="80"/>
          <w:sz w:val="24"/>
          <w:szCs w:val="24"/>
        </w:rPr>
        <w:t>Feb;21</w:t>
      </w:r>
      <w:proofErr w:type="spellEnd"/>
      <w:r w:rsidRPr="00B66C33">
        <w:rPr>
          <w:rFonts w:ascii="Arial" w:hAnsi="Arial" w:cs="Arial"/>
          <w:color w:val="1F3864" w:themeColor="accent1" w:themeShade="80"/>
          <w:sz w:val="24"/>
          <w:szCs w:val="24"/>
        </w:rPr>
        <w:t xml:space="preserve">(2):159-168 </w:t>
      </w:r>
    </w:p>
    <w:p w14:paraId="21A56750" w14:textId="77777777" w:rsidR="00CD1734" w:rsidRPr="00B66C33" w:rsidRDefault="00CD1734" w:rsidP="00CD1734">
      <w:pPr>
        <w:pStyle w:val="ListParagraph"/>
        <w:numPr>
          <w:ilvl w:val="0"/>
          <w:numId w:val="1"/>
        </w:numPr>
        <w:spacing w:after="0"/>
        <w:contextualSpacing w:val="0"/>
        <w:rPr>
          <w:rFonts w:ascii="Arial" w:hAnsi="Arial" w:cs="Arial"/>
          <w:color w:val="1F3864" w:themeColor="accent1" w:themeShade="80"/>
          <w:sz w:val="24"/>
          <w:szCs w:val="24"/>
          <w:u w:val="single"/>
        </w:rPr>
      </w:pPr>
      <w:r w:rsidRPr="00B66C33">
        <w:rPr>
          <w:rFonts w:ascii="Arial" w:hAnsi="Arial" w:cs="Arial"/>
          <w:color w:val="1F3864" w:themeColor="accent1" w:themeShade="80"/>
          <w:sz w:val="24"/>
          <w:szCs w:val="24"/>
        </w:rPr>
        <w:t xml:space="preserve">Scottish Diabetes Survey Monitoring Group. Scottish Diabetes Survey 2014 </w:t>
      </w:r>
      <w:hyperlink w:history="1"/>
      <w:r w:rsidRPr="00B66C33">
        <w:rPr>
          <w:rStyle w:val="Hyperlink"/>
          <w:rFonts w:ascii="Arial" w:hAnsi="Arial" w:cs="Arial"/>
          <w:color w:val="1F3864" w:themeColor="accent1" w:themeShade="80"/>
          <w:sz w:val="24"/>
          <w:szCs w:val="24"/>
        </w:rPr>
        <w:t xml:space="preserve"> </w:t>
      </w:r>
      <w:r w:rsidRPr="00B66C33">
        <w:rPr>
          <w:rFonts w:ascii="Arial" w:hAnsi="Arial" w:cs="Arial"/>
          <w:color w:val="1F3864" w:themeColor="accent1" w:themeShade="80"/>
          <w:sz w:val="24"/>
          <w:szCs w:val="24"/>
        </w:rPr>
        <w:t>https://www.scotpho.org.uk/health-wellbeing-and-disease/diabetes/data/scottish-diabetes-survey  Last Accessed 17/03/20.</w:t>
      </w:r>
    </w:p>
    <w:p w14:paraId="10FCBDEF" w14:textId="7BA61A88" w:rsidR="00CD1734" w:rsidRPr="00B66C33" w:rsidRDefault="00CD1734" w:rsidP="00CD1734">
      <w:pPr>
        <w:pStyle w:val="ListParagraph"/>
        <w:numPr>
          <w:ilvl w:val="0"/>
          <w:numId w:val="1"/>
        </w:numPr>
        <w:spacing w:after="0"/>
        <w:contextualSpacing w:val="0"/>
        <w:rPr>
          <w:rFonts w:ascii="Arial" w:hAnsi="Arial" w:cs="Arial"/>
          <w:color w:val="1F3864" w:themeColor="accent1" w:themeShade="80"/>
          <w:sz w:val="24"/>
          <w:szCs w:val="24"/>
        </w:rPr>
      </w:pPr>
      <w:r w:rsidRPr="00B66C33">
        <w:rPr>
          <w:rFonts w:ascii="Arial" w:hAnsi="Arial" w:cs="Arial"/>
          <w:color w:val="1F3864" w:themeColor="accent1" w:themeShade="80"/>
          <w:sz w:val="24"/>
          <w:szCs w:val="24"/>
          <w:shd w:val="clear" w:color="auto" w:fill="FFFFFF"/>
        </w:rPr>
        <w:t>Kim Y</w:t>
      </w:r>
      <w:r w:rsidR="00D427DB" w:rsidRPr="00B66C33">
        <w:rPr>
          <w:rFonts w:ascii="Arial" w:hAnsi="Arial" w:cs="Arial"/>
          <w:color w:val="1F3864" w:themeColor="accent1" w:themeShade="80"/>
          <w:sz w:val="24"/>
          <w:szCs w:val="24"/>
          <w:shd w:val="clear" w:color="auto" w:fill="FFFFFF"/>
        </w:rPr>
        <w:t xml:space="preserve"> et al</w:t>
      </w:r>
      <w:r w:rsidRPr="00B66C33">
        <w:rPr>
          <w:rFonts w:ascii="Arial" w:hAnsi="Arial" w:cs="Arial"/>
          <w:color w:val="1F3864" w:themeColor="accent1" w:themeShade="80"/>
          <w:sz w:val="24"/>
          <w:szCs w:val="24"/>
          <w:shd w:val="clear" w:color="auto" w:fill="FFFFFF"/>
        </w:rPr>
        <w:t>. Comparative effectiveness of telemonitoring versus usual care for type 2 diabetes: A systematic review and meta-analysis. </w:t>
      </w:r>
      <w:r w:rsidRPr="00B66C33">
        <w:rPr>
          <w:rFonts w:ascii="Arial" w:hAnsi="Arial" w:cs="Arial"/>
          <w:i/>
          <w:iCs/>
          <w:color w:val="1F3864" w:themeColor="accent1" w:themeShade="80"/>
          <w:sz w:val="24"/>
          <w:szCs w:val="24"/>
          <w:shd w:val="clear" w:color="auto" w:fill="FFFFFF"/>
        </w:rPr>
        <w:t xml:space="preserve">J </w:t>
      </w:r>
      <w:proofErr w:type="spellStart"/>
      <w:r w:rsidRPr="00B66C33">
        <w:rPr>
          <w:rFonts w:ascii="Arial" w:hAnsi="Arial" w:cs="Arial"/>
          <w:i/>
          <w:iCs/>
          <w:color w:val="1F3864" w:themeColor="accent1" w:themeShade="80"/>
          <w:sz w:val="24"/>
          <w:szCs w:val="24"/>
          <w:shd w:val="clear" w:color="auto" w:fill="FFFFFF"/>
        </w:rPr>
        <w:t>Telemed</w:t>
      </w:r>
      <w:proofErr w:type="spellEnd"/>
      <w:r w:rsidRPr="00B66C33">
        <w:rPr>
          <w:rFonts w:ascii="Arial" w:hAnsi="Arial" w:cs="Arial"/>
          <w:i/>
          <w:iCs/>
          <w:color w:val="1F3864" w:themeColor="accent1" w:themeShade="80"/>
          <w:sz w:val="24"/>
          <w:szCs w:val="24"/>
          <w:shd w:val="clear" w:color="auto" w:fill="FFFFFF"/>
        </w:rPr>
        <w:t xml:space="preserve"> Telecare</w:t>
      </w:r>
      <w:r w:rsidRPr="00B66C33">
        <w:rPr>
          <w:rFonts w:ascii="Arial" w:hAnsi="Arial" w:cs="Arial"/>
          <w:color w:val="1F3864" w:themeColor="accent1" w:themeShade="80"/>
          <w:sz w:val="24"/>
          <w:szCs w:val="24"/>
          <w:shd w:val="clear" w:color="auto" w:fill="FFFFFF"/>
        </w:rPr>
        <w:t>. 2019;25(10):587–601. doi:10.1177/1357633X18782599</w:t>
      </w:r>
    </w:p>
    <w:p w14:paraId="4B0F29B4" w14:textId="6E85B37F" w:rsidR="00CD1734" w:rsidRPr="00B66C33" w:rsidRDefault="00CD1734" w:rsidP="00CD1734">
      <w:pPr>
        <w:pStyle w:val="PlainText"/>
        <w:numPr>
          <w:ilvl w:val="0"/>
          <w:numId w:val="1"/>
        </w:numPr>
        <w:spacing w:line="276" w:lineRule="auto"/>
        <w:rPr>
          <w:rFonts w:ascii="Arial" w:hAnsi="Arial" w:cs="Arial"/>
          <w:color w:val="1F3864" w:themeColor="accent1" w:themeShade="80"/>
          <w:sz w:val="24"/>
          <w:szCs w:val="24"/>
        </w:rPr>
      </w:pPr>
      <w:r w:rsidRPr="00B66C33">
        <w:rPr>
          <w:rFonts w:ascii="Arial" w:hAnsi="Arial" w:cs="Arial"/>
          <w:color w:val="1F3864" w:themeColor="accent1" w:themeShade="80"/>
          <w:sz w:val="24"/>
          <w:szCs w:val="24"/>
          <w:shd w:val="clear" w:color="auto" w:fill="FFFFFF"/>
        </w:rPr>
        <w:t>Wild SH </w:t>
      </w:r>
      <w:r w:rsidRPr="00B66C33">
        <w:rPr>
          <w:rStyle w:val="nlmetal"/>
          <w:rFonts w:ascii="Arial" w:hAnsi="Arial" w:cs="Arial"/>
          <w:color w:val="1F3864" w:themeColor="accent1" w:themeShade="80"/>
          <w:sz w:val="24"/>
          <w:szCs w:val="24"/>
          <w:shd w:val="clear" w:color="auto" w:fill="FFFFFF"/>
        </w:rPr>
        <w:t>et al.</w:t>
      </w:r>
      <w:r w:rsidRPr="00B66C33">
        <w:rPr>
          <w:rFonts w:ascii="Arial" w:hAnsi="Arial" w:cs="Arial"/>
          <w:color w:val="1F3864" w:themeColor="accent1" w:themeShade="80"/>
          <w:sz w:val="24"/>
          <w:szCs w:val="24"/>
          <w:shd w:val="clear" w:color="auto" w:fill="FFFFFF"/>
        </w:rPr>
        <w:t> </w:t>
      </w:r>
      <w:r w:rsidRPr="00B66C33">
        <w:rPr>
          <w:rStyle w:val="nlmarticle-title"/>
          <w:rFonts w:ascii="Arial" w:hAnsi="Arial" w:cs="Arial"/>
          <w:color w:val="1F3864" w:themeColor="accent1" w:themeShade="80"/>
          <w:sz w:val="24"/>
          <w:szCs w:val="24"/>
          <w:shd w:val="clear" w:color="auto" w:fill="FFFFFF"/>
        </w:rPr>
        <w:t xml:space="preserve">Supported telemonitoring and </w:t>
      </w:r>
      <w:proofErr w:type="spellStart"/>
      <w:r w:rsidRPr="00B66C33">
        <w:rPr>
          <w:rStyle w:val="nlmarticle-title"/>
          <w:rFonts w:ascii="Arial" w:hAnsi="Arial" w:cs="Arial"/>
          <w:color w:val="1F3864" w:themeColor="accent1" w:themeShade="80"/>
          <w:sz w:val="24"/>
          <w:szCs w:val="24"/>
          <w:shd w:val="clear" w:color="auto" w:fill="FFFFFF"/>
        </w:rPr>
        <w:t>glycemic</w:t>
      </w:r>
      <w:proofErr w:type="spellEnd"/>
      <w:r w:rsidRPr="00B66C33">
        <w:rPr>
          <w:rStyle w:val="nlmarticle-title"/>
          <w:rFonts w:ascii="Arial" w:hAnsi="Arial" w:cs="Arial"/>
          <w:color w:val="1F3864" w:themeColor="accent1" w:themeShade="80"/>
          <w:sz w:val="24"/>
          <w:szCs w:val="24"/>
          <w:shd w:val="clear" w:color="auto" w:fill="FFFFFF"/>
        </w:rPr>
        <w:t xml:space="preserve"> control in people with type 2 diabetes: The </w:t>
      </w:r>
      <w:proofErr w:type="spellStart"/>
      <w:r w:rsidRPr="00B66C33">
        <w:rPr>
          <w:rStyle w:val="nlmarticle-title"/>
          <w:rFonts w:ascii="Arial" w:hAnsi="Arial" w:cs="Arial"/>
          <w:color w:val="1F3864" w:themeColor="accent1" w:themeShade="80"/>
          <w:sz w:val="24"/>
          <w:szCs w:val="24"/>
          <w:shd w:val="clear" w:color="auto" w:fill="FFFFFF"/>
        </w:rPr>
        <w:t>Telescot</w:t>
      </w:r>
      <w:proofErr w:type="spellEnd"/>
      <w:r w:rsidRPr="00B66C33">
        <w:rPr>
          <w:rStyle w:val="nlmarticle-title"/>
          <w:rFonts w:ascii="Arial" w:hAnsi="Arial" w:cs="Arial"/>
          <w:color w:val="1F3864" w:themeColor="accent1" w:themeShade="80"/>
          <w:sz w:val="24"/>
          <w:szCs w:val="24"/>
          <w:shd w:val="clear" w:color="auto" w:fill="FFFFFF"/>
        </w:rPr>
        <w:t xml:space="preserve"> Diabetes Pragmatic </w:t>
      </w:r>
      <w:proofErr w:type="spellStart"/>
      <w:r w:rsidRPr="00B66C33">
        <w:rPr>
          <w:rStyle w:val="nlmarticle-title"/>
          <w:rFonts w:ascii="Arial" w:hAnsi="Arial" w:cs="Arial"/>
          <w:color w:val="1F3864" w:themeColor="accent1" w:themeShade="80"/>
          <w:sz w:val="24"/>
          <w:szCs w:val="24"/>
          <w:shd w:val="clear" w:color="auto" w:fill="FFFFFF"/>
        </w:rPr>
        <w:t>Multicenter</w:t>
      </w:r>
      <w:proofErr w:type="spellEnd"/>
      <w:r w:rsidRPr="00B66C33">
        <w:rPr>
          <w:rStyle w:val="nlmarticle-title"/>
          <w:rFonts w:ascii="Arial" w:hAnsi="Arial" w:cs="Arial"/>
          <w:color w:val="1F3864" w:themeColor="accent1" w:themeShade="80"/>
          <w:sz w:val="24"/>
          <w:szCs w:val="24"/>
          <w:shd w:val="clear" w:color="auto" w:fill="FFFFFF"/>
        </w:rPr>
        <w:t xml:space="preserve"> Randomized Controlled Trial</w:t>
      </w:r>
      <w:r w:rsidRPr="00B66C33">
        <w:rPr>
          <w:rFonts w:ascii="Arial" w:hAnsi="Arial" w:cs="Arial"/>
          <w:color w:val="1F3864" w:themeColor="accent1" w:themeShade="80"/>
          <w:sz w:val="24"/>
          <w:szCs w:val="24"/>
          <w:shd w:val="clear" w:color="auto" w:fill="FFFFFF"/>
        </w:rPr>
        <w:t xml:space="preserve">. </w:t>
      </w:r>
      <w:proofErr w:type="spellStart"/>
      <w:r w:rsidRPr="00B66C33">
        <w:rPr>
          <w:rFonts w:ascii="Arial" w:hAnsi="Arial" w:cs="Arial"/>
          <w:color w:val="1F3864" w:themeColor="accent1" w:themeShade="80"/>
          <w:sz w:val="24"/>
          <w:szCs w:val="24"/>
          <w:shd w:val="clear" w:color="auto" w:fill="FFFFFF"/>
        </w:rPr>
        <w:t>PLoS</w:t>
      </w:r>
      <w:proofErr w:type="spellEnd"/>
      <w:r w:rsidRPr="00B66C33">
        <w:rPr>
          <w:rFonts w:ascii="Arial" w:hAnsi="Arial" w:cs="Arial"/>
          <w:color w:val="1F3864" w:themeColor="accent1" w:themeShade="80"/>
          <w:sz w:val="24"/>
          <w:szCs w:val="24"/>
          <w:shd w:val="clear" w:color="auto" w:fill="FFFFFF"/>
        </w:rPr>
        <w:t xml:space="preserve"> medicine </w:t>
      </w:r>
      <w:r w:rsidRPr="00B66C33">
        <w:rPr>
          <w:rStyle w:val="nlmyear"/>
          <w:rFonts w:ascii="Arial" w:hAnsi="Arial" w:cs="Arial"/>
          <w:color w:val="1F3864" w:themeColor="accent1" w:themeShade="80"/>
          <w:sz w:val="24"/>
          <w:szCs w:val="24"/>
          <w:shd w:val="clear" w:color="auto" w:fill="FFFFFF"/>
        </w:rPr>
        <w:t>2016</w:t>
      </w:r>
      <w:r w:rsidRPr="00B66C33">
        <w:rPr>
          <w:rFonts w:ascii="Arial" w:hAnsi="Arial" w:cs="Arial"/>
          <w:color w:val="1F3864" w:themeColor="accent1" w:themeShade="80"/>
          <w:sz w:val="24"/>
          <w:szCs w:val="24"/>
          <w:shd w:val="clear" w:color="auto" w:fill="FFFFFF"/>
        </w:rPr>
        <w:t>; 13: </w:t>
      </w:r>
      <w:proofErr w:type="spellStart"/>
      <w:r w:rsidRPr="00B66C33">
        <w:rPr>
          <w:rStyle w:val="nlmfpage"/>
          <w:rFonts w:ascii="Arial" w:hAnsi="Arial" w:cs="Arial"/>
          <w:color w:val="1F3864" w:themeColor="accent1" w:themeShade="80"/>
          <w:sz w:val="24"/>
          <w:szCs w:val="24"/>
          <w:shd w:val="clear" w:color="auto" w:fill="FFFFFF"/>
        </w:rPr>
        <w:t>e1002098</w:t>
      </w:r>
      <w:proofErr w:type="spellEnd"/>
      <w:r w:rsidRPr="00B66C33">
        <w:rPr>
          <w:rFonts w:ascii="Arial" w:hAnsi="Arial" w:cs="Arial"/>
          <w:color w:val="1F3864" w:themeColor="accent1" w:themeShade="80"/>
          <w:sz w:val="24"/>
          <w:szCs w:val="24"/>
          <w:shd w:val="clear" w:color="auto" w:fill="FFFFFF"/>
        </w:rPr>
        <w:t>–</w:t>
      </w:r>
      <w:proofErr w:type="spellStart"/>
      <w:r w:rsidRPr="00B66C33">
        <w:rPr>
          <w:rStyle w:val="nlmlpage"/>
          <w:rFonts w:ascii="Arial" w:hAnsi="Arial" w:cs="Arial"/>
          <w:color w:val="1F3864" w:themeColor="accent1" w:themeShade="80"/>
          <w:sz w:val="24"/>
          <w:szCs w:val="24"/>
          <w:shd w:val="clear" w:color="auto" w:fill="FFFFFF"/>
        </w:rPr>
        <w:t>e1002098</w:t>
      </w:r>
      <w:proofErr w:type="spellEnd"/>
      <w:r w:rsidRPr="00B66C33">
        <w:rPr>
          <w:rFonts w:ascii="Arial" w:hAnsi="Arial" w:cs="Arial"/>
          <w:color w:val="1F3864" w:themeColor="accent1" w:themeShade="80"/>
          <w:sz w:val="24"/>
          <w:szCs w:val="24"/>
          <w:shd w:val="clear" w:color="auto" w:fill="FFFFFF"/>
        </w:rPr>
        <w:t>.</w:t>
      </w:r>
    </w:p>
    <w:p w14:paraId="6B61AA96" w14:textId="5C674C79" w:rsidR="00496D1E" w:rsidRPr="00B66C33" w:rsidRDefault="00CD1734" w:rsidP="0043054C">
      <w:pPr>
        <w:pStyle w:val="ListParagraph"/>
        <w:numPr>
          <w:ilvl w:val="0"/>
          <w:numId w:val="1"/>
        </w:numPr>
        <w:spacing w:after="0"/>
        <w:contextualSpacing w:val="0"/>
        <w:rPr>
          <w:rFonts w:ascii="Arial" w:hAnsi="Arial" w:cs="Arial"/>
          <w:color w:val="1F3864" w:themeColor="accent1" w:themeShade="80"/>
          <w:sz w:val="24"/>
          <w:szCs w:val="24"/>
        </w:rPr>
      </w:pPr>
      <w:proofErr w:type="spellStart"/>
      <w:r w:rsidRPr="00B66C33">
        <w:rPr>
          <w:rFonts w:ascii="Arial" w:eastAsia="Times New Roman" w:hAnsi="Arial" w:cs="Arial"/>
          <w:color w:val="1F3864" w:themeColor="accent1" w:themeShade="80"/>
          <w:sz w:val="24"/>
          <w:szCs w:val="24"/>
          <w:lang w:eastAsia="en-GB"/>
        </w:rPr>
        <w:t>Lemelin</w:t>
      </w:r>
      <w:proofErr w:type="spellEnd"/>
      <w:r w:rsidRPr="00B66C33">
        <w:rPr>
          <w:rFonts w:ascii="Arial" w:eastAsia="Times New Roman" w:hAnsi="Arial" w:cs="Arial"/>
          <w:color w:val="1F3864" w:themeColor="accent1" w:themeShade="80"/>
          <w:sz w:val="24"/>
          <w:szCs w:val="24"/>
          <w:lang w:eastAsia="en-GB"/>
        </w:rPr>
        <w:t xml:space="preserve"> A</w:t>
      </w:r>
      <w:r w:rsidR="00D427DB" w:rsidRPr="00B66C33">
        <w:rPr>
          <w:rFonts w:ascii="Arial" w:eastAsia="Times New Roman" w:hAnsi="Arial" w:cs="Arial"/>
          <w:color w:val="1F3864" w:themeColor="accent1" w:themeShade="80"/>
          <w:sz w:val="24"/>
          <w:szCs w:val="24"/>
          <w:lang w:eastAsia="en-GB"/>
        </w:rPr>
        <w:t xml:space="preserve"> e al</w:t>
      </w:r>
      <w:r w:rsidRPr="00B66C33">
        <w:rPr>
          <w:rFonts w:ascii="Arial" w:eastAsia="Times New Roman" w:hAnsi="Arial" w:cs="Arial"/>
          <w:color w:val="1F3864" w:themeColor="accent1" w:themeShade="80"/>
          <w:sz w:val="24"/>
          <w:szCs w:val="24"/>
          <w:lang w:eastAsia="en-GB"/>
        </w:rPr>
        <w:t xml:space="preserve">. Demonstrated Cost-Effectiveness of a </w:t>
      </w:r>
      <w:proofErr w:type="spellStart"/>
      <w:r w:rsidRPr="00B66C33">
        <w:rPr>
          <w:rFonts w:ascii="Arial" w:eastAsia="Times New Roman" w:hAnsi="Arial" w:cs="Arial"/>
          <w:color w:val="1F3864" w:themeColor="accent1" w:themeShade="80"/>
          <w:sz w:val="24"/>
          <w:szCs w:val="24"/>
          <w:lang w:eastAsia="en-GB"/>
        </w:rPr>
        <w:t>Telehomecare</w:t>
      </w:r>
      <w:proofErr w:type="spellEnd"/>
      <w:r w:rsidRPr="00B66C33">
        <w:rPr>
          <w:rFonts w:ascii="Arial" w:eastAsia="Times New Roman" w:hAnsi="Arial" w:cs="Arial"/>
          <w:color w:val="1F3864" w:themeColor="accent1" w:themeShade="80"/>
          <w:sz w:val="24"/>
          <w:szCs w:val="24"/>
          <w:lang w:eastAsia="en-GB"/>
        </w:rPr>
        <w:t xml:space="preserve"> Program for Gestational Diabetes Mellitus Management. Diabetes </w:t>
      </w:r>
      <w:proofErr w:type="spellStart"/>
      <w:r w:rsidRPr="00B66C33">
        <w:rPr>
          <w:rFonts w:ascii="Arial" w:eastAsia="Times New Roman" w:hAnsi="Arial" w:cs="Arial"/>
          <w:color w:val="1F3864" w:themeColor="accent1" w:themeShade="80"/>
          <w:sz w:val="24"/>
          <w:szCs w:val="24"/>
          <w:lang w:eastAsia="en-GB"/>
        </w:rPr>
        <w:t>Technol</w:t>
      </w:r>
      <w:proofErr w:type="spellEnd"/>
      <w:r w:rsidRPr="00B66C33">
        <w:rPr>
          <w:rFonts w:ascii="Arial" w:eastAsia="Times New Roman" w:hAnsi="Arial" w:cs="Arial"/>
          <w:color w:val="1F3864" w:themeColor="accent1" w:themeShade="80"/>
          <w:sz w:val="24"/>
          <w:szCs w:val="24"/>
          <w:lang w:eastAsia="en-GB"/>
        </w:rPr>
        <w:t xml:space="preserve"> </w:t>
      </w:r>
      <w:proofErr w:type="spellStart"/>
      <w:r w:rsidRPr="00B66C33">
        <w:rPr>
          <w:rFonts w:ascii="Arial" w:eastAsia="Times New Roman" w:hAnsi="Arial" w:cs="Arial"/>
          <w:color w:val="1F3864" w:themeColor="accent1" w:themeShade="80"/>
          <w:sz w:val="24"/>
          <w:szCs w:val="24"/>
          <w:lang w:eastAsia="en-GB"/>
        </w:rPr>
        <w:t>Ther</w:t>
      </w:r>
      <w:proofErr w:type="spellEnd"/>
      <w:r w:rsidRPr="00B66C33">
        <w:rPr>
          <w:rFonts w:ascii="Arial" w:eastAsia="Times New Roman" w:hAnsi="Arial" w:cs="Arial"/>
          <w:color w:val="1F3864" w:themeColor="accent1" w:themeShade="80"/>
          <w:sz w:val="24"/>
          <w:szCs w:val="24"/>
          <w:lang w:eastAsia="en-GB"/>
        </w:rPr>
        <w:t>. 2020;</w:t>
      </w:r>
      <w:r w:rsidR="00D427DB" w:rsidRPr="00B66C33">
        <w:rPr>
          <w:rFonts w:ascii="Arial" w:eastAsia="Times New Roman" w:hAnsi="Arial" w:cs="Arial"/>
          <w:color w:val="1F3864" w:themeColor="accent1" w:themeShade="80"/>
          <w:sz w:val="24"/>
          <w:szCs w:val="24"/>
          <w:lang w:eastAsia="en-GB"/>
        </w:rPr>
        <w:t xml:space="preserve"> </w:t>
      </w:r>
      <w:r w:rsidRPr="00B66C33">
        <w:rPr>
          <w:rFonts w:ascii="Arial" w:eastAsia="Times New Roman" w:hAnsi="Arial" w:cs="Arial"/>
          <w:color w:val="1F3864" w:themeColor="accent1" w:themeShade="80"/>
          <w:sz w:val="24"/>
          <w:szCs w:val="24"/>
          <w:lang w:eastAsia="en-GB"/>
        </w:rPr>
        <w:t xml:space="preserve">22(3):195-202. </w:t>
      </w:r>
    </w:p>
    <w:p w14:paraId="76F62309" w14:textId="11BC0F0F" w:rsidR="00CD1734" w:rsidRPr="00B66C33" w:rsidRDefault="00CD1734" w:rsidP="00CD1734">
      <w:pPr>
        <w:pStyle w:val="ListParagraph"/>
        <w:numPr>
          <w:ilvl w:val="0"/>
          <w:numId w:val="1"/>
        </w:numPr>
        <w:rPr>
          <w:rFonts w:ascii="Arial" w:hAnsi="Arial" w:cs="Arial"/>
          <w:color w:val="1F3864" w:themeColor="accent1" w:themeShade="80"/>
          <w:sz w:val="24"/>
          <w:szCs w:val="24"/>
          <w:shd w:val="clear" w:color="auto" w:fill="FFFFFF"/>
        </w:rPr>
      </w:pPr>
      <w:proofErr w:type="spellStart"/>
      <w:r w:rsidRPr="00B66C33">
        <w:rPr>
          <w:rFonts w:ascii="Arial" w:hAnsi="Arial" w:cs="Arial"/>
          <w:color w:val="1F3864" w:themeColor="accent1" w:themeShade="80"/>
          <w:sz w:val="24"/>
          <w:szCs w:val="24"/>
          <w:shd w:val="clear" w:color="auto" w:fill="FFFFFF"/>
        </w:rPr>
        <w:t>Fasterholdt</w:t>
      </w:r>
      <w:proofErr w:type="spellEnd"/>
      <w:r w:rsidRPr="00B66C33">
        <w:rPr>
          <w:rFonts w:ascii="Arial" w:hAnsi="Arial" w:cs="Arial"/>
          <w:color w:val="1F3864" w:themeColor="accent1" w:themeShade="80"/>
          <w:sz w:val="24"/>
          <w:szCs w:val="24"/>
          <w:shd w:val="clear" w:color="auto" w:fill="FFFFFF"/>
        </w:rPr>
        <w:t xml:space="preserve"> I</w:t>
      </w:r>
      <w:r w:rsidR="00D427DB" w:rsidRPr="00B66C33">
        <w:rPr>
          <w:rFonts w:ascii="Arial" w:hAnsi="Arial" w:cs="Arial"/>
          <w:color w:val="1F3864" w:themeColor="accent1" w:themeShade="80"/>
          <w:sz w:val="24"/>
          <w:szCs w:val="24"/>
          <w:shd w:val="clear" w:color="auto" w:fill="FFFFFF"/>
        </w:rPr>
        <w:t xml:space="preserve"> et al. </w:t>
      </w:r>
      <w:r w:rsidRPr="00B66C33">
        <w:rPr>
          <w:rFonts w:ascii="Arial" w:hAnsi="Arial" w:cs="Arial"/>
          <w:color w:val="1F3864" w:themeColor="accent1" w:themeShade="80"/>
          <w:sz w:val="24"/>
          <w:szCs w:val="24"/>
          <w:shd w:val="clear" w:color="auto" w:fill="FFFFFF"/>
        </w:rPr>
        <w:t xml:space="preserve">Cost-effectiveness of telemonitoring of diabetic foot ulcer patients. Health Informatics J. 2018 Sep;24(3):245-258. </w:t>
      </w:r>
    </w:p>
    <w:p w14:paraId="4A9E6865" w14:textId="5436B051" w:rsidR="005506BA" w:rsidRPr="00B66C33" w:rsidRDefault="005506BA" w:rsidP="0017269F">
      <w:pPr>
        <w:pStyle w:val="ListParagraph"/>
        <w:numPr>
          <w:ilvl w:val="0"/>
          <w:numId w:val="1"/>
        </w:numPr>
        <w:spacing w:after="0"/>
        <w:rPr>
          <w:rFonts w:ascii="Arial" w:hAnsi="Arial" w:cs="Arial"/>
          <w:color w:val="1F3864" w:themeColor="accent1" w:themeShade="80"/>
          <w:sz w:val="24"/>
          <w:szCs w:val="24"/>
          <w:shd w:val="clear" w:color="auto" w:fill="FFFFFF"/>
        </w:rPr>
      </w:pPr>
      <w:r w:rsidRPr="00B66C33">
        <w:rPr>
          <w:rFonts w:ascii="Arial" w:hAnsi="Arial" w:cs="Arial"/>
          <w:color w:val="1F3864" w:themeColor="accent1" w:themeShade="80"/>
          <w:sz w:val="24"/>
          <w:szCs w:val="24"/>
          <w:shd w:val="clear" w:color="auto" w:fill="FFFFFF"/>
        </w:rPr>
        <w:t>Tsuji S</w:t>
      </w:r>
      <w:r w:rsidR="00D427DB" w:rsidRPr="00B66C33">
        <w:rPr>
          <w:rFonts w:ascii="Arial" w:hAnsi="Arial" w:cs="Arial"/>
          <w:color w:val="1F3864" w:themeColor="accent1" w:themeShade="80"/>
          <w:sz w:val="24"/>
          <w:szCs w:val="24"/>
          <w:shd w:val="clear" w:color="auto" w:fill="FFFFFF"/>
        </w:rPr>
        <w:t xml:space="preserve"> e al. </w:t>
      </w:r>
      <w:r w:rsidRPr="00B66C33">
        <w:rPr>
          <w:rFonts w:ascii="Arial" w:hAnsi="Arial" w:cs="Arial"/>
          <w:color w:val="1F3864" w:themeColor="accent1" w:themeShade="80"/>
          <w:sz w:val="24"/>
          <w:szCs w:val="24"/>
          <w:shd w:val="clear" w:color="auto" w:fill="FFFFFF"/>
        </w:rPr>
        <w:t>Cost-Effectiveness of a Continuous Glucose Monitoring Mobile App for Patients With Type 2 Diabetes Mellitus: Analysis Simulation. J Med Internet Res 2020;22(9):e16053</w:t>
      </w:r>
    </w:p>
    <w:p w14:paraId="417D9860" w14:textId="1ED35D13" w:rsidR="005506BA" w:rsidRPr="00B66C33" w:rsidRDefault="005506BA" w:rsidP="005506BA">
      <w:pPr>
        <w:pStyle w:val="PlainText"/>
        <w:numPr>
          <w:ilvl w:val="0"/>
          <w:numId w:val="1"/>
        </w:numPr>
        <w:spacing w:line="276" w:lineRule="auto"/>
        <w:rPr>
          <w:rFonts w:ascii="Arial" w:hAnsi="Arial" w:cs="Arial"/>
          <w:color w:val="1F3864" w:themeColor="accent1" w:themeShade="80"/>
          <w:sz w:val="24"/>
          <w:szCs w:val="24"/>
        </w:rPr>
      </w:pPr>
      <w:proofErr w:type="spellStart"/>
      <w:r w:rsidRPr="00B66C33">
        <w:rPr>
          <w:rFonts w:ascii="Arial" w:hAnsi="Arial" w:cs="Arial"/>
          <w:color w:val="1F3864" w:themeColor="accent1" w:themeShade="80"/>
          <w:sz w:val="24"/>
          <w:szCs w:val="24"/>
          <w:shd w:val="clear" w:color="auto" w:fill="FFFFFF"/>
        </w:rPr>
        <w:t>Pekmezaris</w:t>
      </w:r>
      <w:proofErr w:type="spellEnd"/>
      <w:r w:rsidRPr="00B66C33">
        <w:rPr>
          <w:rFonts w:ascii="Arial" w:hAnsi="Arial" w:cs="Arial"/>
          <w:color w:val="1F3864" w:themeColor="accent1" w:themeShade="80"/>
          <w:sz w:val="24"/>
          <w:szCs w:val="24"/>
          <w:shd w:val="clear" w:color="auto" w:fill="FFFFFF"/>
        </w:rPr>
        <w:t xml:space="preserve"> R et al. Home Telemonitoring In Heart Failure: A Systematic Review And Meta-Analysis. </w:t>
      </w:r>
      <w:r w:rsidRPr="00B66C33">
        <w:rPr>
          <w:rFonts w:ascii="Arial" w:hAnsi="Arial" w:cs="Arial"/>
          <w:i/>
          <w:iCs/>
          <w:color w:val="1F3864" w:themeColor="accent1" w:themeShade="80"/>
          <w:sz w:val="24"/>
          <w:szCs w:val="24"/>
          <w:shd w:val="clear" w:color="auto" w:fill="FFFFFF"/>
        </w:rPr>
        <w:t xml:space="preserve">Health </w:t>
      </w:r>
      <w:proofErr w:type="spellStart"/>
      <w:r w:rsidRPr="00B66C33">
        <w:rPr>
          <w:rFonts w:ascii="Arial" w:hAnsi="Arial" w:cs="Arial"/>
          <w:i/>
          <w:iCs/>
          <w:color w:val="1F3864" w:themeColor="accent1" w:themeShade="80"/>
          <w:sz w:val="24"/>
          <w:szCs w:val="24"/>
          <w:shd w:val="clear" w:color="auto" w:fill="FFFFFF"/>
        </w:rPr>
        <w:t>Aff</w:t>
      </w:r>
      <w:proofErr w:type="spellEnd"/>
      <w:r w:rsidRPr="00B66C33">
        <w:rPr>
          <w:rFonts w:ascii="Arial" w:hAnsi="Arial" w:cs="Arial"/>
          <w:i/>
          <w:iCs/>
          <w:color w:val="1F3864" w:themeColor="accent1" w:themeShade="80"/>
          <w:sz w:val="24"/>
          <w:szCs w:val="24"/>
          <w:shd w:val="clear" w:color="auto" w:fill="FFFFFF"/>
        </w:rPr>
        <w:t xml:space="preserve"> (Millwood)</w:t>
      </w:r>
      <w:r w:rsidRPr="00B66C33">
        <w:rPr>
          <w:rFonts w:ascii="Arial" w:hAnsi="Arial" w:cs="Arial"/>
          <w:color w:val="1F3864" w:themeColor="accent1" w:themeShade="80"/>
          <w:sz w:val="24"/>
          <w:szCs w:val="24"/>
          <w:shd w:val="clear" w:color="auto" w:fill="FFFFFF"/>
        </w:rPr>
        <w:t>. 2018;37(12):1983–1989. doi:10.1377/hlthaff.2018.05087</w:t>
      </w:r>
    </w:p>
    <w:p w14:paraId="2DA67333" w14:textId="3DDB7F40" w:rsidR="007E1830" w:rsidRPr="00B66C33" w:rsidRDefault="007E1830" w:rsidP="005506BA">
      <w:pPr>
        <w:pStyle w:val="PlainText"/>
        <w:numPr>
          <w:ilvl w:val="0"/>
          <w:numId w:val="1"/>
        </w:numPr>
        <w:spacing w:line="276" w:lineRule="auto"/>
        <w:rPr>
          <w:rFonts w:ascii="Arial" w:hAnsi="Arial" w:cs="Arial"/>
          <w:color w:val="1F3864" w:themeColor="accent1" w:themeShade="80"/>
          <w:sz w:val="24"/>
          <w:szCs w:val="24"/>
        </w:rPr>
      </w:pPr>
      <w:proofErr w:type="spellStart"/>
      <w:r w:rsidRPr="00B66C33">
        <w:rPr>
          <w:rFonts w:ascii="Arial" w:hAnsi="Arial" w:cs="Arial"/>
          <w:color w:val="1F3864" w:themeColor="accent1" w:themeShade="80"/>
          <w:sz w:val="24"/>
          <w:szCs w:val="24"/>
          <w:shd w:val="clear" w:color="auto" w:fill="FFFFFF"/>
        </w:rPr>
        <w:t>Thokala</w:t>
      </w:r>
      <w:proofErr w:type="spellEnd"/>
      <w:r w:rsidRPr="00B66C33">
        <w:rPr>
          <w:rFonts w:ascii="Arial" w:hAnsi="Arial" w:cs="Arial"/>
          <w:color w:val="1F3864" w:themeColor="accent1" w:themeShade="80"/>
          <w:sz w:val="24"/>
          <w:szCs w:val="24"/>
          <w:shd w:val="clear" w:color="auto" w:fill="FFFFFF"/>
        </w:rPr>
        <w:t xml:space="preserve"> P et al. Telemonitoring after discharge from hospital with heart failure: cost-effectiveness modelling of alternative service designs. BMJ Open. 2013;3(9):e003250.</w:t>
      </w:r>
    </w:p>
    <w:p w14:paraId="2B0081C5" w14:textId="77777777" w:rsidR="00D14BE7" w:rsidRPr="00B66C33" w:rsidRDefault="005506BA" w:rsidP="00E2392A">
      <w:pPr>
        <w:pStyle w:val="ListParagraph"/>
        <w:numPr>
          <w:ilvl w:val="0"/>
          <w:numId w:val="1"/>
        </w:numPr>
        <w:spacing w:after="0"/>
        <w:contextualSpacing w:val="0"/>
        <w:rPr>
          <w:rFonts w:ascii="Arial" w:hAnsi="Arial" w:cs="Arial"/>
          <w:color w:val="1F3864" w:themeColor="accent1" w:themeShade="80"/>
          <w:sz w:val="24"/>
          <w:szCs w:val="24"/>
        </w:rPr>
      </w:pPr>
      <w:r w:rsidRPr="00B66C33">
        <w:rPr>
          <w:rFonts w:ascii="Arial" w:hAnsi="Arial" w:cs="Arial"/>
          <w:color w:val="1F3864" w:themeColor="accent1" w:themeShade="80"/>
          <w:sz w:val="24"/>
          <w:szCs w:val="24"/>
          <w:shd w:val="clear" w:color="auto" w:fill="FFFFFF"/>
        </w:rPr>
        <w:t>Jiang X</w:t>
      </w:r>
      <w:r w:rsidR="00D14BE7" w:rsidRPr="00B66C33">
        <w:rPr>
          <w:rFonts w:ascii="Arial" w:hAnsi="Arial" w:cs="Arial"/>
          <w:color w:val="1F3864" w:themeColor="accent1" w:themeShade="80"/>
          <w:sz w:val="24"/>
          <w:szCs w:val="24"/>
          <w:shd w:val="clear" w:color="auto" w:fill="FFFFFF"/>
        </w:rPr>
        <w:t xml:space="preserve"> et al</w:t>
      </w:r>
      <w:r w:rsidRPr="00B66C33">
        <w:rPr>
          <w:rFonts w:ascii="Arial" w:hAnsi="Arial" w:cs="Arial"/>
          <w:color w:val="1F3864" w:themeColor="accent1" w:themeShade="80"/>
          <w:sz w:val="24"/>
          <w:szCs w:val="24"/>
          <w:shd w:val="clear" w:color="auto" w:fill="FFFFFF"/>
        </w:rPr>
        <w:t>. Cost-effectiveness of a Telemonitoring Program for Patients With Heart Failure During the COVID-19 Pandemic in Hong Kong: Model Development and Data Analysis</w:t>
      </w:r>
      <w:r w:rsidRPr="00B66C33">
        <w:rPr>
          <w:rFonts w:ascii="Arial" w:hAnsi="Arial" w:cs="Arial"/>
          <w:color w:val="1F3864" w:themeColor="accent1" w:themeShade="80"/>
          <w:sz w:val="24"/>
          <w:szCs w:val="24"/>
        </w:rPr>
        <w:br/>
      </w:r>
      <w:r w:rsidRPr="00B66C33">
        <w:rPr>
          <w:rFonts w:ascii="Arial" w:hAnsi="Arial" w:cs="Arial"/>
          <w:color w:val="1F3864" w:themeColor="accent1" w:themeShade="80"/>
          <w:sz w:val="24"/>
          <w:szCs w:val="24"/>
          <w:shd w:val="clear" w:color="auto" w:fill="FFFFFF"/>
        </w:rPr>
        <w:t>J Med Internet Res 2021;23(3):e26516</w:t>
      </w:r>
    </w:p>
    <w:p w14:paraId="059C2E1A" w14:textId="1ABA59EE" w:rsidR="00CD1734" w:rsidRPr="00B66C33" w:rsidRDefault="005506BA" w:rsidP="00E2392A">
      <w:pPr>
        <w:pStyle w:val="ListParagraph"/>
        <w:numPr>
          <w:ilvl w:val="0"/>
          <w:numId w:val="1"/>
        </w:numPr>
        <w:spacing w:after="0"/>
        <w:contextualSpacing w:val="0"/>
        <w:rPr>
          <w:rFonts w:ascii="Arial" w:hAnsi="Arial" w:cs="Arial"/>
          <w:color w:val="1F3864" w:themeColor="accent1" w:themeShade="80"/>
          <w:sz w:val="24"/>
          <w:szCs w:val="24"/>
        </w:rPr>
      </w:pPr>
      <w:r w:rsidRPr="00B66C33">
        <w:rPr>
          <w:rFonts w:ascii="Arial" w:hAnsi="Arial" w:cs="Arial"/>
          <w:color w:val="1F3864" w:themeColor="accent1" w:themeShade="80"/>
          <w:sz w:val="24"/>
          <w:szCs w:val="24"/>
          <w:shd w:val="clear" w:color="auto" w:fill="FFFFFF"/>
        </w:rPr>
        <w:t>Jiang X</w:t>
      </w:r>
      <w:r w:rsidR="00D14BE7" w:rsidRPr="00B66C33">
        <w:rPr>
          <w:rFonts w:ascii="Arial" w:hAnsi="Arial" w:cs="Arial"/>
          <w:color w:val="1F3864" w:themeColor="accent1" w:themeShade="80"/>
          <w:sz w:val="24"/>
          <w:szCs w:val="24"/>
          <w:shd w:val="clear" w:color="auto" w:fill="FFFFFF"/>
        </w:rPr>
        <w:t xml:space="preserve"> et al</w:t>
      </w:r>
      <w:r w:rsidRPr="00B66C33">
        <w:rPr>
          <w:rFonts w:ascii="Arial" w:hAnsi="Arial" w:cs="Arial"/>
          <w:color w:val="1F3864" w:themeColor="accent1" w:themeShade="80"/>
          <w:sz w:val="24"/>
          <w:szCs w:val="24"/>
          <w:shd w:val="clear" w:color="auto" w:fill="FFFFFF"/>
        </w:rPr>
        <w:t>. Telemonitoring Versus Usual Care for Elderly Patients With Heart Failure Discharged From the Hospital in the United States: Cost-Effectiveness Analysis. </w:t>
      </w:r>
      <w:proofErr w:type="spellStart"/>
      <w:r w:rsidRPr="00B66C33">
        <w:rPr>
          <w:rFonts w:ascii="Arial" w:hAnsi="Arial" w:cs="Arial"/>
          <w:i/>
          <w:iCs/>
          <w:color w:val="1F3864" w:themeColor="accent1" w:themeShade="80"/>
          <w:sz w:val="24"/>
          <w:szCs w:val="24"/>
          <w:shd w:val="clear" w:color="auto" w:fill="FFFFFF"/>
        </w:rPr>
        <w:t>JMIR</w:t>
      </w:r>
      <w:proofErr w:type="spellEnd"/>
      <w:r w:rsidRPr="00B66C33">
        <w:rPr>
          <w:rFonts w:ascii="Arial" w:hAnsi="Arial" w:cs="Arial"/>
          <w:i/>
          <w:iCs/>
          <w:color w:val="1F3864" w:themeColor="accent1" w:themeShade="80"/>
          <w:sz w:val="24"/>
          <w:szCs w:val="24"/>
          <w:shd w:val="clear" w:color="auto" w:fill="FFFFFF"/>
        </w:rPr>
        <w:t xml:space="preserve"> </w:t>
      </w:r>
      <w:proofErr w:type="spellStart"/>
      <w:r w:rsidRPr="00B66C33">
        <w:rPr>
          <w:rFonts w:ascii="Arial" w:hAnsi="Arial" w:cs="Arial"/>
          <w:i/>
          <w:iCs/>
          <w:color w:val="1F3864" w:themeColor="accent1" w:themeShade="80"/>
          <w:sz w:val="24"/>
          <w:szCs w:val="24"/>
          <w:shd w:val="clear" w:color="auto" w:fill="FFFFFF"/>
        </w:rPr>
        <w:t>Mhealth</w:t>
      </w:r>
      <w:proofErr w:type="spellEnd"/>
      <w:r w:rsidRPr="00B66C33">
        <w:rPr>
          <w:rFonts w:ascii="Arial" w:hAnsi="Arial" w:cs="Arial"/>
          <w:i/>
          <w:iCs/>
          <w:color w:val="1F3864" w:themeColor="accent1" w:themeShade="80"/>
          <w:sz w:val="24"/>
          <w:szCs w:val="24"/>
          <w:shd w:val="clear" w:color="auto" w:fill="FFFFFF"/>
        </w:rPr>
        <w:t xml:space="preserve"> </w:t>
      </w:r>
      <w:proofErr w:type="spellStart"/>
      <w:r w:rsidRPr="00B66C33">
        <w:rPr>
          <w:rFonts w:ascii="Arial" w:hAnsi="Arial" w:cs="Arial"/>
          <w:i/>
          <w:iCs/>
          <w:color w:val="1F3864" w:themeColor="accent1" w:themeShade="80"/>
          <w:sz w:val="24"/>
          <w:szCs w:val="24"/>
          <w:shd w:val="clear" w:color="auto" w:fill="FFFFFF"/>
        </w:rPr>
        <w:t>Uhealth</w:t>
      </w:r>
      <w:proofErr w:type="spellEnd"/>
      <w:r w:rsidRPr="00B66C33">
        <w:rPr>
          <w:rFonts w:ascii="Arial" w:hAnsi="Arial" w:cs="Arial"/>
          <w:color w:val="1F3864" w:themeColor="accent1" w:themeShade="80"/>
          <w:sz w:val="24"/>
          <w:szCs w:val="24"/>
          <w:shd w:val="clear" w:color="auto" w:fill="FFFFFF"/>
        </w:rPr>
        <w:t xml:space="preserve">. 2020;8(7):e17846. </w:t>
      </w:r>
    </w:p>
    <w:p w14:paraId="3614F150" w14:textId="652D7B25" w:rsidR="002F6A85" w:rsidRPr="00B66C33" w:rsidRDefault="002F6A85" w:rsidP="002F6A85">
      <w:pPr>
        <w:pStyle w:val="PlainText"/>
        <w:numPr>
          <w:ilvl w:val="0"/>
          <w:numId w:val="1"/>
        </w:numPr>
        <w:spacing w:line="276" w:lineRule="auto"/>
        <w:rPr>
          <w:rFonts w:ascii="Arial" w:hAnsi="Arial" w:cs="Arial"/>
          <w:color w:val="1F3864" w:themeColor="accent1" w:themeShade="80"/>
          <w:sz w:val="24"/>
          <w:szCs w:val="24"/>
        </w:rPr>
      </w:pPr>
      <w:r w:rsidRPr="00B66C33">
        <w:rPr>
          <w:rFonts w:ascii="Arial" w:hAnsi="Arial" w:cs="Arial"/>
          <w:color w:val="1F3864" w:themeColor="accent1" w:themeShade="80"/>
          <w:sz w:val="24"/>
          <w:szCs w:val="24"/>
        </w:rPr>
        <w:t xml:space="preserve">McLean S. Telehealthcare for asthma. Cochrane Database </w:t>
      </w:r>
      <w:proofErr w:type="spellStart"/>
      <w:r w:rsidRPr="00B66C33">
        <w:rPr>
          <w:rFonts w:ascii="Arial" w:hAnsi="Arial" w:cs="Arial"/>
          <w:color w:val="1F3864" w:themeColor="accent1" w:themeShade="80"/>
          <w:sz w:val="24"/>
          <w:szCs w:val="24"/>
        </w:rPr>
        <w:t>Syst</w:t>
      </w:r>
      <w:proofErr w:type="spellEnd"/>
      <w:r w:rsidRPr="00B66C33">
        <w:rPr>
          <w:rFonts w:ascii="Arial" w:hAnsi="Arial" w:cs="Arial"/>
          <w:color w:val="1F3864" w:themeColor="accent1" w:themeShade="80"/>
          <w:sz w:val="24"/>
          <w:szCs w:val="24"/>
        </w:rPr>
        <w:t xml:space="preserve"> Rev. 2010 Oct 6;(10):CD007717. </w:t>
      </w:r>
    </w:p>
    <w:p w14:paraId="7BA3F098" w14:textId="5CB271D3" w:rsidR="0017269F" w:rsidRPr="00B66C33" w:rsidRDefault="002F6A85" w:rsidP="0043054C">
      <w:pPr>
        <w:pStyle w:val="ListParagraph"/>
        <w:numPr>
          <w:ilvl w:val="0"/>
          <w:numId w:val="1"/>
        </w:numPr>
        <w:spacing w:after="0"/>
        <w:contextualSpacing w:val="0"/>
        <w:rPr>
          <w:rFonts w:ascii="Arial" w:hAnsi="Arial" w:cs="Arial"/>
          <w:color w:val="1F3864" w:themeColor="accent1" w:themeShade="80"/>
          <w:sz w:val="24"/>
          <w:szCs w:val="24"/>
        </w:rPr>
      </w:pPr>
      <w:r w:rsidRPr="00B66C33">
        <w:rPr>
          <w:rFonts w:ascii="Arial" w:hAnsi="Arial" w:cs="Arial"/>
          <w:color w:val="1F3864" w:themeColor="accent1" w:themeShade="80"/>
          <w:sz w:val="24"/>
          <w:szCs w:val="24"/>
          <w:shd w:val="clear" w:color="auto" w:fill="FFFFFF"/>
        </w:rPr>
        <w:t>Jung Y</w:t>
      </w:r>
      <w:r w:rsidR="00D14BE7" w:rsidRPr="00B66C33">
        <w:rPr>
          <w:rFonts w:ascii="Arial" w:hAnsi="Arial" w:cs="Arial"/>
          <w:color w:val="1F3864" w:themeColor="accent1" w:themeShade="80"/>
          <w:sz w:val="24"/>
          <w:szCs w:val="24"/>
          <w:shd w:val="clear" w:color="auto" w:fill="FFFFFF"/>
        </w:rPr>
        <w:t xml:space="preserve"> et al</w:t>
      </w:r>
      <w:r w:rsidRPr="00B66C33">
        <w:rPr>
          <w:rFonts w:ascii="Arial" w:hAnsi="Arial" w:cs="Arial"/>
          <w:color w:val="1F3864" w:themeColor="accent1" w:themeShade="80"/>
          <w:sz w:val="24"/>
          <w:szCs w:val="24"/>
          <w:shd w:val="clear" w:color="auto" w:fill="FFFFFF"/>
        </w:rPr>
        <w:t xml:space="preserve">. Effectiveness of Telemonitoring Intervention in Children and Adolescents with Asthma: A Systematic Review and Meta-Analysis. J Korean </w:t>
      </w:r>
      <w:proofErr w:type="spellStart"/>
      <w:r w:rsidRPr="00B66C33">
        <w:rPr>
          <w:rFonts w:ascii="Arial" w:hAnsi="Arial" w:cs="Arial"/>
          <w:color w:val="1F3864" w:themeColor="accent1" w:themeShade="80"/>
          <w:sz w:val="24"/>
          <w:szCs w:val="24"/>
          <w:shd w:val="clear" w:color="auto" w:fill="FFFFFF"/>
        </w:rPr>
        <w:t>Acad</w:t>
      </w:r>
      <w:proofErr w:type="spellEnd"/>
      <w:r w:rsidRPr="00B66C33">
        <w:rPr>
          <w:rFonts w:ascii="Arial" w:hAnsi="Arial" w:cs="Arial"/>
          <w:color w:val="1F3864" w:themeColor="accent1" w:themeShade="80"/>
          <w:sz w:val="24"/>
          <w:szCs w:val="24"/>
          <w:shd w:val="clear" w:color="auto" w:fill="FFFFFF"/>
        </w:rPr>
        <w:t xml:space="preserve"> </w:t>
      </w:r>
      <w:proofErr w:type="spellStart"/>
      <w:r w:rsidRPr="00B66C33">
        <w:rPr>
          <w:rFonts w:ascii="Arial" w:hAnsi="Arial" w:cs="Arial"/>
          <w:color w:val="1F3864" w:themeColor="accent1" w:themeShade="80"/>
          <w:sz w:val="24"/>
          <w:szCs w:val="24"/>
          <w:shd w:val="clear" w:color="auto" w:fill="FFFFFF"/>
        </w:rPr>
        <w:t>Nurs</w:t>
      </w:r>
      <w:proofErr w:type="spellEnd"/>
      <w:r w:rsidRPr="00B66C33">
        <w:rPr>
          <w:rFonts w:ascii="Arial" w:hAnsi="Arial" w:cs="Arial"/>
          <w:color w:val="1F3864" w:themeColor="accent1" w:themeShade="80"/>
          <w:sz w:val="24"/>
          <w:szCs w:val="24"/>
          <w:shd w:val="clear" w:color="auto" w:fill="FFFFFF"/>
        </w:rPr>
        <w:t>. 2018 Aug;48(4):389-406.</w:t>
      </w:r>
    </w:p>
    <w:p w14:paraId="79C55B31" w14:textId="41D535A5" w:rsidR="002F6A85" w:rsidRPr="00B66C33" w:rsidRDefault="002F6A85" w:rsidP="002F6A85">
      <w:pPr>
        <w:numPr>
          <w:ilvl w:val="0"/>
          <w:numId w:val="1"/>
        </w:numPr>
        <w:spacing w:before="100" w:beforeAutospacing="1" w:after="100" w:afterAutospacing="1"/>
        <w:rPr>
          <w:rFonts w:ascii="Arial" w:hAnsi="Arial" w:cs="Arial"/>
          <w:color w:val="1F3864" w:themeColor="accent1" w:themeShade="80"/>
          <w:sz w:val="24"/>
          <w:szCs w:val="24"/>
        </w:rPr>
      </w:pPr>
      <w:proofErr w:type="spellStart"/>
      <w:r w:rsidRPr="00B66C33">
        <w:rPr>
          <w:rFonts w:ascii="Arial" w:eastAsia="Times New Roman" w:hAnsi="Arial" w:cs="Arial"/>
          <w:iCs/>
          <w:color w:val="1F3864" w:themeColor="accent1" w:themeShade="80"/>
          <w:sz w:val="24"/>
          <w:szCs w:val="24"/>
          <w:lang w:val="en" w:eastAsia="en-GB"/>
        </w:rPr>
        <w:t>Marcano</w:t>
      </w:r>
      <w:proofErr w:type="spellEnd"/>
      <w:r w:rsidRPr="00B66C33">
        <w:rPr>
          <w:rFonts w:ascii="Arial" w:eastAsia="Times New Roman" w:hAnsi="Arial" w:cs="Arial"/>
          <w:iCs/>
          <w:color w:val="1F3864" w:themeColor="accent1" w:themeShade="80"/>
          <w:sz w:val="24"/>
          <w:szCs w:val="24"/>
          <w:lang w:val="en" w:eastAsia="en-GB"/>
        </w:rPr>
        <w:t xml:space="preserve"> Belisario JS, </w:t>
      </w:r>
      <w:r w:rsidR="00D14BE7" w:rsidRPr="00B66C33">
        <w:rPr>
          <w:rFonts w:ascii="Arial" w:eastAsia="Times New Roman" w:hAnsi="Arial" w:cs="Arial"/>
          <w:iCs/>
          <w:color w:val="1F3864" w:themeColor="accent1" w:themeShade="80"/>
          <w:sz w:val="24"/>
          <w:szCs w:val="24"/>
          <w:lang w:val="en" w:eastAsia="en-GB"/>
        </w:rPr>
        <w:t>e al</w:t>
      </w:r>
      <w:r w:rsidRPr="00B66C33">
        <w:rPr>
          <w:rFonts w:ascii="Arial" w:eastAsia="Times New Roman" w:hAnsi="Arial" w:cs="Arial"/>
          <w:iCs/>
          <w:color w:val="1F3864" w:themeColor="accent1" w:themeShade="80"/>
          <w:sz w:val="24"/>
          <w:szCs w:val="24"/>
          <w:lang w:val="en" w:eastAsia="en-GB"/>
        </w:rPr>
        <w:t xml:space="preserve">. Smartphone and tablet </w:t>
      </w:r>
      <w:proofErr w:type="spellStart"/>
      <w:r w:rsidRPr="00B66C33">
        <w:rPr>
          <w:rFonts w:ascii="Arial" w:eastAsia="Times New Roman" w:hAnsi="Arial" w:cs="Arial"/>
          <w:iCs/>
          <w:color w:val="1F3864" w:themeColor="accent1" w:themeShade="80"/>
          <w:sz w:val="24"/>
          <w:szCs w:val="24"/>
          <w:lang w:val="en" w:eastAsia="en-GB"/>
        </w:rPr>
        <w:t>self management</w:t>
      </w:r>
      <w:proofErr w:type="spellEnd"/>
      <w:r w:rsidRPr="00B66C33">
        <w:rPr>
          <w:rFonts w:ascii="Arial" w:eastAsia="Times New Roman" w:hAnsi="Arial" w:cs="Arial"/>
          <w:iCs/>
          <w:color w:val="1F3864" w:themeColor="accent1" w:themeShade="80"/>
          <w:sz w:val="24"/>
          <w:szCs w:val="24"/>
          <w:lang w:val="en" w:eastAsia="en-GB"/>
        </w:rPr>
        <w:t xml:space="preserve"> apps for asthma. Cochrane Database of Systematic Reviews 2013, Issue 11</w:t>
      </w:r>
    </w:p>
    <w:p w14:paraId="629E97D1" w14:textId="53C160D3" w:rsidR="002F6A85" w:rsidRPr="00B66C33" w:rsidRDefault="002F6A85" w:rsidP="002F6A85">
      <w:pPr>
        <w:pStyle w:val="ListParagraph"/>
        <w:numPr>
          <w:ilvl w:val="0"/>
          <w:numId w:val="1"/>
        </w:numPr>
        <w:spacing w:after="0"/>
        <w:contextualSpacing w:val="0"/>
        <w:rPr>
          <w:rFonts w:ascii="Arial" w:hAnsi="Arial" w:cs="Arial"/>
          <w:color w:val="1F3864" w:themeColor="accent1" w:themeShade="80"/>
          <w:sz w:val="24"/>
          <w:szCs w:val="24"/>
        </w:rPr>
      </w:pPr>
      <w:proofErr w:type="spellStart"/>
      <w:r w:rsidRPr="00B66C33">
        <w:rPr>
          <w:rFonts w:ascii="Arial" w:hAnsi="Arial" w:cs="Arial"/>
          <w:bCs/>
          <w:color w:val="1F3864" w:themeColor="accent1" w:themeShade="80"/>
          <w:sz w:val="24"/>
          <w:szCs w:val="24"/>
        </w:rPr>
        <w:t>Seemungal</w:t>
      </w:r>
      <w:proofErr w:type="spellEnd"/>
      <w:r w:rsidRPr="00B66C33">
        <w:rPr>
          <w:rFonts w:ascii="Arial" w:hAnsi="Arial" w:cs="Arial"/>
          <w:bCs/>
          <w:color w:val="1F3864" w:themeColor="accent1" w:themeShade="80"/>
          <w:sz w:val="24"/>
          <w:szCs w:val="24"/>
        </w:rPr>
        <w:t xml:space="preserve"> TAR</w:t>
      </w:r>
      <w:r w:rsidR="00D14BE7" w:rsidRPr="00B66C33">
        <w:rPr>
          <w:rFonts w:ascii="Arial" w:hAnsi="Arial" w:cs="Arial"/>
          <w:bCs/>
          <w:color w:val="1F3864" w:themeColor="accent1" w:themeShade="80"/>
          <w:sz w:val="24"/>
          <w:szCs w:val="24"/>
        </w:rPr>
        <w:t xml:space="preserve"> et al</w:t>
      </w:r>
      <w:r w:rsidRPr="00B66C33">
        <w:rPr>
          <w:rFonts w:ascii="Arial" w:hAnsi="Arial" w:cs="Arial"/>
          <w:bCs/>
          <w:color w:val="1F3864" w:themeColor="accent1" w:themeShade="80"/>
          <w:sz w:val="24"/>
          <w:szCs w:val="24"/>
        </w:rPr>
        <w:t>. Effect of exacerbation on quality of life in patients with chronic obstructive pulmonary disease.</w:t>
      </w:r>
      <w:r w:rsidRPr="00B66C33">
        <w:rPr>
          <w:rFonts w:ascii="Arial" w:hAnsi="Arial" w:cs="Arial"/>
          <w:color w:val="1F3864" w:themeColor="accent1" w:themeShade="80"/>
          <w:sz w:val="24"/>
          <w:szCs w:val="24"/>
        </w:rPr>
        <w:t xml:space="preserve"> Am J of Respir Crit Care Med 1998; 157: 1418-1422</w:t>
      </w:r>
    </w:p>
    <w:p w14:paraId="62C2261A" w14:textId="0BCDD090" w:rsidR="002F6A85" w:rsidRPr="00B66C33" w:rsidRDefault="002F6A85" w:rsidP="002F6A85">
      <w:pPr>
        <w:pStyle w:val="ListParagraph"/>
        <w:numPr>
          <w:ilvl w:val="0"/>
          <w:numId w:val="1"/>
        </w:numPr>
        <w:spacing w:after="0"/>
        <w:contextualSpacing w:val="0"/>
        <w:rPr>
          <w:rFonts w:ascii="Arial" w:hAnsi="Arial" w:cs="Arial"/>
          <w:color w:val="1F3864" w:themeColor="accent1" w:themeShade="80"/>
          <w:sz w:val="24"/>
          <w:szCs w:val="24"/>
          <w:lang w:val="en"/>
        </w:rPr>
      </w:pPr>
      <w:proofErr w:type="spellStart"/>
      <w:r w:rsidRPr="00B66C33">
        <w:rPr>
          <w:rFonts w:ascii="Arial" w:eastAsia="Times New Roman" w:hAnsi="Arial" w:cs="Arial"/>
          <w:iCs/>
          <w:color w:val="1F3864" w:themeColor="accent1" w:themeShade="80"/>
          <w:sz w:val="24"/>
          <w:szCs w:val="24"/>
          <w:lang w:eastAsia="en-GB"/>
        </w:rPr>
        <w:t>Polisena</w:t>
      </w:r>
      <w:proofErr w:type="spellEnd"/>
      <w:r w:rsidRPr="00B66C33">
        <w:rPr>
          <w:rFonts w:ascii="Arial" w:eastAsia="Times New Roman" w:hAnsi="Arial" w:cs="Arial"/>
          <w:iCs/>
          <w:color w:val="1F3864" w:themeColor="accent1" w:themeShade="80"/>
          <w:sz w:val="24"/>
          <w:szCs w:val="24"/>
          <w:lang w:eastAsia="en-GB"/>
        </w:rPr>
        <w:t xml:space="preserve"> J</w:t>
      </w:r>
      <w:r w:rsidR="00D14BE7" w:rsidRPr="00B66C33">
        <w:rPr>
          <w:rFonts w:ascii="Arial" w:eastAsia="Times New Roman" w:hAnsi="Arial" w:cs="Arial"/>
          <w:iCs/>
          <w:color w:val="1F3864" w:themeColor="accent1" w:themeShade="80"/>
          <w:sz w:val="24"/>
          <w:szCs w:val="24"/>
          <w:lang w:eastAsia="en-GB"/>
        </w:rPr>
        <w:t xml:space="preserve"> e</w:t>
      </w:r>
      <w:r w:rsidRPr="00B66C33">
        <w:rPr>
          <w:rFonts w:ascii="Arial" w:eastAsia="Times New Roman" w:hAnsi="Arial" w:cs="Arial"/>
          <w:iCs/>
          <w:color w:val="1F3864" w:themeColor="accent1" w:themeShade="80"/>
          <w:sz w:val="24"/>
          <w:szCs w:val="24"/>
          <w:lang w:eastAsia="en-GB"/>
        </w:rPr>
        <w:t xml:space="preserve">t al. Home telehealth for chronic obstructive pulmonary disease: a systematic review and meta-analysis. J </w:t>
      </w:r>
      <w:proofErr w:type="spellStart"/>
      <w:r w:rsidRPr="00B66C33">
        <w:rPr>
          <w:rFonts w:ascii="Arial" w:eastAsia="Times New Roman" w:hAnsi="Arial" w:cs="Arial"/>
          <w:iCs/>
          <w:color w:val="1F3864" w:themeColor="accent1" w:themeShade="80"/>
          <w:sz w:val="24"/>
          <w:szCs w:val="24"/>
          <w:lang w:eastAsia="en-GB"/>
        </w:rPr>
        <w:t>Telemed</w:t>
      </w:r>
      <w:proofErr w:type="spellEnd"/>
      <w:r w:rsidRPr="00B66C33">
        <w:rPr>
          <w:rFonts w:ascii="Arial" w:eastAsia="Times New Roman" w:hAnsi="Arial" w:cs="Arial"/>
          <w:iCs/>
          <w:color w:val="1F3864" w:themeColor="accent1" w:themeShade="80"/>
          <w:sz w:val="24"/>
          <w:szCs w:val="24"/>
          <w:lang w:eastAsia="en-GB"/>
        </w:rPr>
        <w:t xml:space="preserve"> Telecare 2010;16:120–7</w:t>
      </w:r>
    </w:p>
    <w:p w14:paraId="1D26EFAC" w14:textId="72E79C08" w:rsidR="002F6A85" w:rsidRPr="00B66C33" w:rsidRDefault="002F6A85" w:rsidP="0043054C">
      <w:pPr>
        <w:pStyle w:val="ListParagraph"/>
        <w:numPr>
          <w:ilvl w:val="0"/>
          <w:numId w:val="1"/>
        </w:numPr>
        <w:spacing w:after="0"/>
        <w:contextualSpacing w:val="0"/>
        <w:rPr>
          <w:rStyle w:val="cit"/>
          <w:rFonts w:ascii="Arial" w:hAnsi="Arial" w:cs="Arial"/>
          <w:color w:val="1F3864" w:themeColor="accent1" w:themeShade="80"/>
          <w:sz w:val="24"/>
          <w:szCs w:val="24"/>
        </w:rPr>
      </w:pPr>
      <w:r w:rsidRPr="00B66C33">
        <w:rPr>
          <w:rFonts w:ascii="Arial" w:eastAsia="Times New Roman" w:hAnsi="Arial" w:cs="Arial"/>
          <w:iCs/>
          <w:color w:val="1F3864" w:themeColor="accent1" w:themeShade="80"/>
          <w:sz w:val="24"/>
          <w:szCs w:val="24"/>
          <w:lang w:eastAsia="en-GB"/>
        </w:rPr>
        <w:t xml:space="preserve">McLean S </w:t>
      </w:r>
      <w:r w:rsidR="00D14BE7" w:rsidRPr="00B66C33">
        <w:rPr>
          <w:rFonts w:ascii="Arial" w:eastAsia="Times New Roman" w:hAnsi="Arial" w:cs="Arial"/>
          <w:iCs/>
          <w:color w:val="1F3864" w:themeColor="accent1" w:themeShade="80"/>
          <w:sz w:val="24"/>
          <w:szCs w:val="24"/>
          <w:lang w:eastAsia="en-GB"/>
        </w:rPr>
        <w:t>et al</w:t>
      </w:r>
      <w:r w:rsidRPr="00B66C33">
        <w:rPr>
          <w:rFonts w:ascii="Arial" w:eastAsia="Times New Roman" w:hAnsi="Arial" w:cs="Arial"/>
          <w:iCs/>
          <w:color w:val="1F3864" w:themeColor="accent1" w:themeShade="80"/>
          <w:sz w:val="24"/>
          <w:szCs w:val="24"/>
          <w:lang w:eastAsia="en-GB"/>
        </w:rPr>
        <w:t xml:space="preserve">. </w:t>
      </w:r>
      <w:r w:rsidRPr="00B66C33">
        <w:rPr>
          <w:rFonts w:ascii="Arial" w:hAnsi="Arial" w:cs="Arial"/>
          <w:color w:val="1F3864" w:themeColor="accent1" w:themeShade="80"/>
          <w:sz w:val="24"/>
          <w:szCs w:val="24"/>
          <w:lang w:val="en"/>
        </w:rPr>
        <w:t xml:space="preserve">Telehealthcare for chronic obstructive pulmonary disease: Cochrane Review and meta-analysis. </w:t>
      </w:r>
      <w:r w:rsidRPr="00B66C33">
        <w:rPr>
          <w:rStyle w:val="cit"/>
          <w:rFonts w:ascii="Arial" w:hAnsi="Arial" w:cs="Arial"/>
          <w:color w:val="1F3864" w:themeColor="accent1" w:themeShade="80"/>
          <w:sz w:val="24"/>
          <w:szCs w:val="24"/>
          <w:lang w:val="en"/>
        </w:rPr>
        <w:t xml:space="preserve">Br J Gen </w:t>
      </w:r>
      <w:proofErr w:type="spellStart"/>
      <w:r w:rsidRPr="00B66C33">
        <w:rPr>
          <w:rStyle w:val="cit"/>
          <w:rFonts w:ascii="Arial" w:hAnsi="Arial" w:cs="Arial"/>
          <w:color w:val="1F3864" w:themeColor="accent1" w:themeShade="80"/>
          <w:sz w:val="24"/>
          <w:szCs w:val="24"/>
          <w:lang w:val="en"/>
        </w:rPr>
        <w:t>Pract</w:t>
      </w:r>
      <w:proofErr w:type="spellEnd"/>
      <w:r w:rsidRPr="00B66C33">
        <w:rPr>
          <w:rStyle w:val="cit"/>
          <w:rFonts w:ascii="Arial" w:hAnsi="Arial" w:cs="Arial"/>
          <w:color w:val="1F3864" w:themeColor="accent1" w:themeShade="80"/>
          <w:sz w:val="24"/>
          <w:szCs w:val="24"/>
          <w:lang w:val="en"/>
        </w:rPr>
        <w:t>. 2012 Nov; 62(604): e739–e749</w:t>
      </w:r>
    </w:p>
    <w:p w14:paraId="5344B74C" w14:textId="47E48338" w:rsidR="002F6A85" w:rsidRPr="00B66C33" w:rsidRDefault="002F6A85" w:rsidP="002F6A85">
      <w:pPr>
        <w:pStyle w:val="ListParagraph"/>
        <w:numPr>
          <w:ilvl w:val="0"/>
          <w:numId w:val="1"/>
        </w:numPr>
        <w:spacing w:after="0"/>
        <w:contextualSpacing w:val="0"/>
        <w:rPr>
          <w:rStyle w:val="cit"/>
          <w:rFonts w:ascii="Arial" w:hAnsi="Arial" w:cs="Arial"/>
          <w:color w:val="1F3864" w:themeColor="accent1" w:themeShade="80"/>
          <w:sz w:val="24"/>
          <w:szCs w:val="24"/>
          <w:lang w:val="en"/>
        </w:rPr>
      </w:pPr>
      <w:r w:rsidRPr="00B66C33">
        <w:rPr>
          <w:rFonts w:ascii="Arial" w:hAnsi="Arial" w:cs="Arial"/>
          <w:color w:val="1F3864" w:themeColor="accent1" w:themeShade="80"/>
          <w:sz w:val="24"/>
          <w:szCs w:val="24"/>
          <w:shd w:val="clear" w:color="auto" w:fill="FFFFFF"/>
        </w:rPr>
        <w:t>Kruse C</w:t>
      </w:r>
      <w:r w:rsidR="00D14BE7" w:rsidRPr="00B66C33">
        <w:rPr>
          <w:rFonts w:ascii="Arial" w:hAnsi="Arial" w:cs="Arial"/>
          <w:color w:val="1F3864" w:themeColor="accent1" w:themeShade="80"/>
          <w:sz w:val="24"/>
          <w:szCs w:val="24"/>
          <w:shd w:val="clear" w:color="auto" w:fill="FFFFFF"/>
        </w:rPr>
        <w:t xml:space="preserve"> et al</w:t>
      </w:r>
      <w:r w:rsidRPr="00B66C33">
        <w:rPr>
          <w:rFonts w:ascii="Arial" w:hAnsi="Arial" w:cs="Arial"/>
          <w:color w:val="1F3864" w:themeColor="accent1" w:themeShade="80"/>
          <w:sz w:val="24"/>
          <w:szCs w:val="24"/>
          <w:shd w:val="clear" w:color="auto" w:fill="FFFFFF"/>
        </w:rPr>
        <w:t>. Telemonitoring to Manage Chronic Obstructive Pulmonary Disease: Systematic Literature Review. JMIR Med Inform. 2019;7(1):e11496. Published 2019 Mar 20. doi:10.2196/11496</w:t>
      </w:r>
    </w:p>
    <w:p w14:paraId="6A90E241" w14:textId="7C6501BC" w:rsidR="002F6A85" w:rsidRPr="00B66C33" w:rsidRDefault="002F6A85" w:rsidP="0043054C">
      <w:pPr>
        <w:pStyle w:val="ListParagraph"/>
        <w:numPr>
          <w:ilvl w:val="0"/>
          <w:numId w:val="1"/>
        </w:numPr>
        <w:spacing w:after="0"/>
        <w:contextualSpacing w:val="0"/>
        <w:rPr>
          <w:rFonts w:ascii="Arial" w:hAnsi="Arial" w:cs="Arial"/>
          <w:color w:val="1F3864" w:themeColor="accent1" w:themeShade="80"/>
          <w:sz w:val="24"/>
          <w:szCs w:val="24"/>
        </w:rPr>
      </w:pPr>
      <w:proofErr w:type="spellStart"/>
      <w:r w:rsidRPr="00B66C33">
        <w:rPr>
          <w:rFonts w:ascii="Arial" w:hAnsi="Arial" w:cs="Arial"/>
          <w:color w:val="1F3864" w:themeColor="accent1" w:themeShade="80"/>
          <w:sz w:val="24"/>
          <w:szCs w:val="24"/>
          <w:shd w:val="clear" w:color="auto" w:fill="FFFFFF"/>
        </w:rPr>
        <w:t>Lilholt</w:t>
      </w:r>
      <w:proofErr w:type="spellEnd"/>
      <w:r w:rsidRPr="00B66C33">
        <w:rPr>
          <w:rFonts w:ascii="Arial" w:hAnsi="Arial" w:cs="Arial"/>
          <w:color w:val="1F3864" w:themeColor="accent1" w:themeShade="80"/>
          <w:sz w:val="24"/>
          <w:szCs w:val="24"/>
          <w:shd w:val="clear" w:color="auto" w:fill="FFFFFF"/>
        </w:rPr>
        <w:t xml:space="preserve"> PH</w:t>
      </w:r>
      <w:r w:rsidR="00D14BE7" w:rsidRPr="00B66C33">
        <w:rPr>
          <w:rFonts w:ascii="Arial" w:hAnsi="Arial" w:cs="Arial"/>
          <w:color w:val="1F3864" w:themeColor="accent1" w:themeShade="80"/>
          <w:sz w:val="24"/>
          <w:szCs w:val="24"/>
          <w:shd w:val="clear" w:color="auto" w:fill="FFFFFF"/>
        </w:rPr>
        <w:t xml:space="preserve"> et al </w:t>
      </w:r>
      <w:r w:rsidRPr="00B66C33">
        <w:rPr>
          <w:rFonts w:ascii="Arial" w:hAnsi="Arial" w:cs="Arial"/>
          <w:color w:val="1F3864" w:themeColor="accent1" w:themeShade="80"/>
          <w:sz w:val="24"/>
          <w:szCs w:val="24"/>
          <w:shd w:val="clear" w:color="auto" w:fill="FFFFFF"/>
        </w:rPr>
        <w:t>. Telehealthcare for patients suffering from chronic obstructive pulmonary disease: effects on health-related quality of life: results from the Danish '</w:t>
      </w:r>
      <w:proofErr w:type="spellStart"/>
      <w:r w:rsidRPr="00B66C33">
        <w:rPr>
          <w:rFonts w:ascii="Arial" w:hAnsi="Arial" w:cs="Arial"/>
          <w:color w:val="1F3864" w:themeColor="accent1" w:themeShade="80"/>
          <w:sz w:val="24"/>
          <w:szCs w:val="24"/>
          <w:shd w:val="clear" w:color="auto" w:fill="FFFFFF"/>
        </w:rPr>
        <w:t>TeleCare</w:t>
      </w:r>
      <w:proofErr w:type="spellEnd"/>
      <w:r w:rsidRPr="00B66C33">
        <w:rPr>
          <w:rFonts w:ascii="Arial" w:hAnsi="Arial" w:cs="Arial"/>
          <w:color w:val="1F3864" w:themeColor="accent1" w:themeShade="80"/>
          <w:sz w:val="24"/>
          <w:szCs w:val="24"/>
          <w:shd w:val="clear" w:color="auto" w:fill="FFFFFF"/>
        </w:rPr>
        <w:t xml:space="preserve"> North' cluster-randomised trial. </w:t>
      </w:r>
      <w:proofErr w:type="spellStart"/>
      <w:r w:rsidRPr="00B66C33">
        <w:rPr>
          <w:rFonts w:ascii="Arial" w:hAnsi="Arial" w:cs="Arial"/>
          <w:i/>
          <w:iCs/>
          <w:color w:val="1F3864" w:themeColor="accent1" w:themeShade="80"/>
          <w:sz w:val="24"/>
          <w:szCs w:val="24"/>
          <w:shd w:val="clear" w:color="auto" w:fill="FFFFFF"/>
        </w:rPr>
        <w:t>BMJ</w:t>
      </w:r>
      <w:proofErr w:type="spellEnd"/>
      <w:r w:rsidRPr="00B66C33">
        <w:rPr>
          <w:rFonts w:ascii="Arial" w:hAnsi="Arial" w:cs="Arial"/>
          <w:i/>
          <w:iCs/>
          <w:color w:val="1F3864" w:themeColor="accent1" w:themeShade="80"/>
          <w:sz w:val="24"/>
          <w:szCs w:val="24"/>
          <w:shd w:val="clear" w:color="auto" w:fill="FFFFFF"/>
        </w:rPr>
        <w:t xml:space="preserve"> Open</w:t>
      </w:r>
      <w:r w:rsidRPr="00B66C33">
        <w:rPr>
          <w:rFonts w:ascii="Arial" w:hAnsi="Arial" w:cs="Arial"/>
          <w:color w:val="1F3864" w:themeColor="accent1" w:themeShade="80"/>
          <w:sz w:val="24"/>
          <w:szCs w:val="24"/>
          <w:shd w:val="clear" w:color="auto" w:fill="FFFFFF"/>
        </w:rPr>
        <w:t>. 2017;7(5):e014587.</w:t>
      </w:r>
    </w:p>
    <w:p w14:paraId="2BAB1F7A" w14:textId="17AB6B95" w:rsidR="002F6A85" w:rsidRPr="00B66C33" w:rsidRDefault="002F6A85" w:rsidP="002F6A85">
      <w:pPr>
        <w:pStyle w:val="CommentText"/>
        <w:numPr>
          <w:ilvl w:val="0"/>
          <w:numId w:val="1"/>
        </w:numPr>
        <w:spacing w:after="0" w:line="276" w:lineRule="auto"/>
        <w:rPr>
          <w:rFonts w:ascii="Arial" w:hAnsi="Arial" w:cs="Arial"/>
          <w:color w:val="1F3864" w:themeColor="accent1" w:themeShade="80"/>
          <w:sz w:val="24"/>
          <w:szCs w:val="24"/>
        </w:rPr>
      </w:pPr>
      <w:r w:rsidRPr="00B66C33">
        <w:rPr>
          <w:rFonts w:ascii="Arial" w:hAnsi="Arial" w:cs="Arial"/>
          <w:color w:val="1F3864" w:themeColor="accent1" w:themeShade="80"/>
          <w:sz w:val="24"/>
          <w:szCs w:val="24"/>
        </w:rPr>
        <w:t>Pinnock H</w:t>
      </w:r>
      <w:r w:rsidR="00D14BE7" w:rsidRPr="00B66C33">
        <w:rPr>
          <w:rFonts w:ascii="Arial" w:hAnsi="Arial" w:cs="Arial"/>
          <w:color w:val="1F3864" w:themeColor="accent1" w:themeShade="80"/>
          <w:sz w:val="24"/>
          <w:szCs w:val="24"/>
        </w:rPr>
        <w:t xml:space="preserve"> et al</w:t>
      </w:r>
      <w:r w:rsidRPr="00B66C33">
        <w:rPr>
          <w:rFonts w:ascii="Arial" w:hAnsi="Arial" w:cs="Arial"/>
          <w:color w:val="1F3864" w:themeColor="accent1" w:themeShade="80"/>
          <w:sz w:val="24"/>
          <w:szCs w:val="24"/>
        </w:rPr>
        <w:t>. Effectiveness of telemonitoring integrated into existing clinical services on hospital admission for exacerbation of chronic obstructive pulmonary disease: researcher blind, multicentre, randomised controlled trial. BMJ 2013;347:f6070</w:t>
      </w:r>
    </w:p>
    <w:p w14:paraId="264AEB1A" w14:textId="1E67FCA7" w:rsidR="00C03C5E" w:rsidRPr="00B66C33" w:rsidRDefault="00C03C5E" w:rsidP="002F6A85">
      <w:pPr>
        <w:pStyle w:val="CommentText"/>
        <w:numPr>
          <w:ilvl w:val="0"/>
          <w:numId w:val="1"/>
        </w:numPr>
        <w:spacing w:after="0" w:line="276" w:lineRule="auto"/>
        <w:rPr>
          <w:rFonts w:ascii="Arial" w:hAnsi="Arial" w:cs="Arial"/>
          <w:color w:val="1F3864" w:themeColor="accent1" w:themeShade="80"/>
          <w:sz w:val="24"/>
          <w:szCs w:val="24"/>
        </w:rPr>
      </w:pPr>
      <w:r w:rsidRPr="00B66C33">
        <w:rPr>
          <w:rFonts w:ascii="Arial" w:hAnsi="Arial" w:cs="Arial"/>
          <w:color w:val="1F3864" w:themeColor="accent1" w:themeShade="80"/>
          <w:sz w:val="24"/>
          <w:szCs w:val="24"/>
        </w:rPr>
        <w:t xml:space="preserve">Witt </w:t>
      </w:r>
      <w:proofErr w:type="spellStart"/>
      <w:r w:rsidRPr="00B66C33">
        <w:rPr>
          <w:rFonts w:ascii="Arial" w:hAnsi="Arial" w:cs="Arial"/>
          <w:color w:val="1F3864" w:themeColor="accent1" w:themeShade="80"/>
          <w:sz w:val="24"/>
          <w:szCs w:val="24"/>
        </w:rPr>
        <w:t>Udsen</w:t>
      </w:r>
      <w:proofErr w:type="spellEnd"/>
      <w:r w:rsidRPr="00B66C33">
        <w:rPr>
          <w:rFonts w:ascii="Arial" w:hAnsi="Arial" w:cs="Arial"/>
          <w:color w:val="1F3864" w:themeColor="accent1" w:themeShade="80"/>
          <w:sz w:val="24"/>
          <w:szCs w:val="24"/>
        </w:rPr>
        <w:t xml:space="preserve"> F et al. Cost-effectiveness of telehealthcare to patients with chronic obstructive pulmonary disease: results from the Danish ‘</w:t>
      </w:r>
      <w:proofErr w:type="spellStart"/>
      <w:r w:rsidRPr="00B66C33">
        <w:rPr>
          <w:rFonts w:ascii="Arial" w:hAnsi="Arial" w:cs="Arial"/>
          <w:color w:val="1F3864" w:themeColor="accent1" w:themeShade="80"/>
          <w:sz w:val="24"/>
          <w:szCs w:val="24"/>
        </w:rPr>
        <w:t>TeleCare</w:t>
      </w:r>
      <w:proofErr w:type="spellEnd"/>
      <w:r w:rsidRPr="00B66C33">
        <w:rPr>
          <w:rFonts w:ascii="Arial" w:hAnsi="Arial" w:cs="Arial"/>
          <w:color w:val="1F3864" w:themeColor="accent1" w:themeShade="80"/>
          <w:sz w:val="24"/>
          <w:szCs w:val="24"/>
        </w:rPr>
        <w:t xml:space="preserve"> North’ cluster-randomised trial. BMJ Open 2017;7:e014616.</w:t>
      </w:r>
    </w:p>
    <w:p w14:paraId="3AD74252" w14:textId="77777777" w:rsidR="00C03C5E" w:rsidRPr="00B66C33" w:rsidRDefault="00C03C5E" w:rsidP="00C03C5E">
      <w:pPr>
        <w:pStyle w:val="ListParagraph"/>
        <w:numPr>
          <w:ilvl w:val="0"/>
          <w:numId w:val="1"/>
        </w:numPr>
        <w:spacing w:after="0"/>
        <w:rPr>
          <w:rFonts w:ascii="Arial" w:hAnsi="Arial" w:cs="Arial"/>
          <w:color w:val="1F3864" w:themeColor="accent1" w:themeShade="80"/>
          <w:sz w:val="24"/>
          <w:szCs w:val="24"/>
        </w:rPr>
      </w:pPr>
      <w:proofErr w:type="spellStart"/>
      <w:r w:rsidRPr="00B66C33">
        <w:rPr>
          <w:rFonts w:ascii="Arial" w:hAnsi="Arial" w:cs="Arial"/>
          <w:color w:val="1F3864" w:themeColor="accent1" w:themeShade="80"/>
          <w:sz w:val="24"/>
          <w:szCs w:val="24"/>
          <w:shd w:val="clear" w:color="auto" w:fill="FFFFFF"/>
        </w:rPr>
        <w:t>Ancochea</w:t>
      </w:r>
      <w:proofErr w:type="spellEnd"/>
      <w:r w:rsidRPr="00B66C33">
        <w:rPr>
          <w:rFonts w:ascii="Arial" w:hAnsi="Arial" w:cs="Arial"/>
          <w:color w:val="1F3864" w:themeColor="accent1" w:themeShade="80"/>
          <w:sz w:val="24"/>
          <w:szCs w:val="24"/>
          <w:shd w:val="clear" w:color="auto" w:fill="FFFFFF"/>
        </w:rPr>
        <w:t xml:space="preserve"> J et al. Efficacy and costs of telehealth for the management of COPD: the PROMETE II trial. Eur Respir J. 2018 May 30;51(5):1800354. </w:t>
      </w:r>
    </w:p>
    <w:p w14:paraId="16544B3E" w14:textId="398DBA1B" w:rsidR="00C03C5E" w:rsidRPr="00B66C33" w:rsidRDefault="00C03C5E" w:rsidP="002F6A85">
      <w:pPr>
        <w:pStyle w:val="CommentText"/>
        <w:numPr>
          <w:ilvl w:val="0"/>
          <w:numId w:val="1"/>
        </w:numPr>
        <w:spacing w:after="0" w:line="276" w:lineRule="auto"/>
        <w:rPr>
          <w:rFonts w:ascii="Arial" w:hAnsi="Arial" w:cs="Arial"/>
          <w:color w:val="1F3864" w:themeColor="accent1" w:themeShade="80"/>
          <w:sz w:val="24"/>
          <w:szCs w:val="24"/>
        </w:rPr>
      </w:pPr>
      <w:proofErr w:type="spellStart"/>
      <w:r w:rsidRPr="00B66C33">
        <w:rPr>
          <w:rFonts w:ascii="Arial" w:hAnsi="Arial" w:cs="Arial"/>
          <w:color w:val="1F3864" w:themeColor="accent1" w:themeShade="80"/>
          <w:sz w:val="24"/>
          <w:szCs w:val="24"/>
          <w:shd w:val="clear" w:color="auto" w:fill="FFFFFF"/>
        </w:rPr>
        <w:t>Achelrod</w:t>
      </w:r>
      <w:proofErr w:type="spellEnd"/>
      <w:r w:rsidRPr="00B66C33">
        <w:rPr>
          <w:rFonts w:ascii="Arial" w:hAnsi="Arial" w:cs="Arial"/>
          <w:color w:val="1F3864" w:themeColor="accent1" w:themeShade="80"/>
          <w:sz w:val="24"/>
          <w:szCs w:val="24"/>
          <w:shd w:val="clear" w:color="auto" w:fill="FFFFFF"/>
        </w:rPr>
        <w:t xml:space="preserve"> D et al Health-economic evaluation of home telemonitoring for COPD in Germany: evidence from a large population-based cohort. Eur J Health Econ. 2017;(7):869-882</w:t>
      </w:r>
    </w:p>
    <w:p w14:paraId="0327703B" w14:textId="00190506" w:rsidR="00BB7BE3" w:rsidRPr="00B66C33" w:rsidRDefault="00BB7BE3" w:rsidP="00BB7BE3">
      <w:pPr>
        <w:pStyle w:val="CommentText"/>
        <w:numPr>
          <w:ilvl w:val="0"/>
          <w:numId w:val="1"/>
        </w:numPr>
        <w:spacing w:after="0" w:line="276" w:lineRule="auto"/>
        <w:rPr>
          <w:rFonts w:ascii="Arial" w:hAnsi="Arial" w:cs="Arial"/>
          <w:color w:val="1F3864" w:themeColor="accent1" w:themeShade="80"/>
          <w:sz w:val="24"/>
          <w:szCs w:val="24"/>
        </w:rPr>
      </w:pPr>
      <w:r w:rsidRPr="00B66C33">
        <w:rPr>
          <w:rFonts w:ascii="Arial" w:hAnsi="Arial" w:cs="Arial"/>
          <w:color w:val="1F3864" w:themeColor="accent1" w:themeShade="80"/>
          <w:sz w:val="24"/>
          <w:szCs w:val="24"/>
          <w:shd w:val="clear" w:color="auto" w:fill="FFFFFF"/>
        </w:rPr>
        <w:t>Orchard P et al. Improving Prediction of Risk of Hospital Admission in Chronic Obstructive Pulmonary Disease: Application of Machine Learning to Telemonitoring Data. </w:t>
      </w:r>
      <w:r w:rsidRPr="00B66C33">
        <w:rPr>
          <w:rFonts w:ascii="Arial" w:hAnsi="Arial" w:cs="Arial"/>
          <w:i/>
          <w:iCs/>
          <w:color w:val="1F3864" w:themeColor="accent1" w:themeShade="80"/>
          <w:sz w:val="24"/>
          <w:szCs w:val="24"/>
          <w:shd w:val="clear" w:color="auto" w:fill="FFFFFF"/>
        </w:rPr>
        <w:t>J Med Internet Res</w:t>
      </w:r>
      <w:r w:rsidRPr="00B66C33">
        <w:rPr>
          <w:rFonts w:ascii="Arial" w:hAnsi="Arial" w:cs="Arial"/>
          <w:color w:val="1F3864" w:themeColor="accent1" w:themeShade="80"/>
          <w:sz w:val="24"/>
          <w:szCs w:val="24"/>
          <w:shd w:val="clear" w:color="auto" w:fill="FFFFFF"/>
        </w:rPr>
        <w:t>. 2018;20(9):e263. Published 2018 Sep 21. doi:10.2196/jmir.9227</w:t>
      </w:r>
    </w:p>
    <w:p w14:paraId="1532065B" w14:textId="615072A7" w:rsidR="00BB7BE3" w:rsidRPr="00B66C33" w:rsidRDefault="00BB7BE3" w:rsidP="00BB7BE3">
      <w:pPr>
        <w:pStyle w:val="ListParagraph"/>
        <w:numPr>
          <w:ilvl w:val="0"/>
          <w:numId w:val="1"/>
        </w:numPr>
        <w:spacing w:after="0"/>
        <w:contextualSpacing w:val="0"/>
        <w:rPr>
          <w:rFonts w:ascii="Arial" w:hAnsi="Arial" w:cs="Arial"/>
          <w:color w:val="1F3864" w:themeColor="accent1" w:themeShade="80"/>
          <w:sz w:val="24"/>
          <w:szCs w:val="24"/>
        </w:rPr>
      </w:pPr>
      <w:proofErr w:type="spellStart"/>
      <w:r w:rsidRPr="00B66C33">
        <w:rPr>
          <w:rFonts w:ascii="Arial" w:hAnsi="Arial" w:cs="Arial"/>
          <w:color w:val="1F3864" w:themeColor="accent1" w:themeShade="80"/>
          <w:sz w:val="24"/>
          <w:szCs w:val="24"/>
        </w:rPr>
        <w:t>MacNab</w:t>
      </w:r>
      <w:proofErr w:type="spellEnd"/>
      <w:r w:rsidRPr="00B66C33">
        <w:rPr>
          <w:rFonts w:ascii="Arial" w:hAnsi="Arial" w:cs="Arial"/>
          <w:color w:val="1F3864" w:themeColor="accent1" w:themeShade="80"/>
          <w:sz w:val="24"/>
          <w:szCs w:val="24"/>
        </w:rPr>
        <w:t xml:space="preserve"> M</w:t>
      </w:r>
      <w:r w:rsidR="00D14BE7" w:rsidRPr="00B66C33">
        <w:rPr>
          <w:rFonts w:ascii="Arial" w:hAnsi="Arial" w:cs="Arial"/>
          <w:color w:val="1F3864" w:themeColor="accent1" w:themeShade="80"/>
          <w:sz w:val="24"/>
          <w:szCs w:val="24"/>
        </w:rPr>
        <w:t xml:space="preserve"> et al</w:t>
      </w:r>
      <w:r w:rsidRPr="00B66C33">
        <w:rPr>
          <w:rFonts w:ascii="Arial" w:hAnsi="Arial" w:cs="Arial"/>
          <w:color w:val="1F3864" w:themeColor="accent1" w:themeShade="80"/>
          <w:sz w:val="24"/>
          <w:szCs w:val="24"/>
        </w:rPr>
        <w:t>. Oximetry-supported self-management for chronic obstructive pulmonary disease: mixed method feasibility pilot project BMC Health Services Research 15 (1), 1</w:t>
      </w:r>
    </w:p>
    <w:p w14:paraId="01C98976" w14:textId="732AEDEC" w:rsidR="002F6A85" w:rsidRPr="00B66C33" w:rsidRDefault="00BB7BE3" w:rsidP="0043054C">
      <w:pPr>
        <w:pStyle w:val="ListParagraph"/>
        <w:numPr>
          <w:ilvl w:val="0"/>
          <w:numId w:val="1"/>
        </w:numPr>
        <w:spacing w:after="0"/>
        <w:contextualSpacing w:val="0"/>
        <w:rPr>
          <w:rFonts w:ascii="Arial" w:hAnsi="Arial" w:cs="Arial"/>
          <w:color w:val="1F3864" w:themeColor="accent1" w:themeShade="80"/>
          <w:sz w:val="24"/>
          <w:szCs w:val="24"/>
        </w:rPr>
      </w:pPr>
      <w:r w:rsidRPr="00B66C33">
        <w:rPr>
          <w:rFonts w:ascii="Arial" w:hAnsi="Arial" w:cs="Arial"/>
          <w:color w:val="1F3864" w:themeColor="accent1" w:themeShade="80"/>
          <w:sz w:val="24"/>
          <w:szCs w:val="24"/>
        </w:rPr>
        <w:t xml:space="preserve">DYNAMIC-SCOT </w:t>
      </w:r>
      <w:hyperlink r:id="rId5" w:history="1">
        <w:r w:rsidRPr="00B66C33">
          <w:rPr>
            <w:rStyle w:val="Hyperlink"/>
            <w:rFonts w:ascii="Arial" w:hAnsi="Arial" w:cs="Arial"/>
            <w:color w:val="1F3864" w:themeColor="accent1" w:themeShade="80"/>
            <w:sz w:val="24"/>
            <w:szCs w:val="24"/>
          </w:rPr>
          <w:t>https://www.dhi-scotland.com/projects/dynamic-scot/</w:t>
        </w:r>
      </w:hyperlink>
      <w:r w:rsidRPr="00B66C33">
        <w:rPr>
          <w:rFonts w:ascii="Arial" w:hAnsi="Arial" w:cs="Arial"/>
          <w:color w:val="1F3864" w:themeColor="accent1" w:themeShade="80"/>
          <w:sz w:val="24"/>
          <w:szCs w:val="24"/>
        </w:rPr>
        <w:t xml:space="preserve"> </w:t>
      </w:r>
    </w:p>
    <w:p w14:paraId="30053688" w14:textId="77777777" w:rsidR="00496D1E" w:rsidRPr="00B66C33" w:rsidRDefault="00496D1E" w:rsidP="00496D1E">
      <w:pPr>
        <w:spacing w:after="0"/>
        <w:rPr>
          <w:rFonts w:ascii="Arial" w:hAnsi="Arial" w:cs="Arial"/>
          <w:color w:val="1F3864" w:themeColor="accent1" w:themeShade="80"/>
          <w:sz w:val="24"/>
          <w:szCs w:val="24"/>
        </w:rPr>
      </w:pPr>
    </w:p>
    <w:p w14:paraId="6EB1F5A4" w14:textId="77777777" w:rsidR="003973C0" w:rsidRPr="00B66C33" w:rsidRDefault="003973C0" w:rsidP="003973C0">
      <w:pPr>
        <w:rPr>
          <w:rFonts w:ascii="Arial" w:hAnsi="Arial" w:cs="Arial"/>
          <w:color w:val="1F3864" w:themeColor="accent1" w:themeShade="80"/>
          <w:sz w:val="24"/>
          <w:szCs w:val="24"/>
        </w:rPr>
      </w:pPr>
      <w:r w:rsidRPr="00B66C33">
        <w:rPr>
          <w:rFonts w:ascii="Arial" w:hAnsi="Arial" w:cs="Arial"/>
          <w:color w:val="1F3864" w:themeColor="accent1" w:themeShade="80"/>
          <w:sz w:val="24"/>
          <w:szCs w:val="24"/>
        </w:rPr>
        <w:t xml:space="preserve">  </w:t>
      </w:r>
    </w:p>
    <w:sectPr w:rsidR="003973C0" w:rsidRPr="00B66C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47869"/>
    <w:multiLevelType w:val="hybridMultilevel"/>
    <w:tmpl w:val="445E2F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1A172B4"/>
    <w:multiLevelType w:val="hybridMultilevel"/>
    <w:tmpl w:val="735887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F803A30"/>
    <w:multiLevelType w:val="hybridMultilevel"/>
    <w:tmpl w:val="C3B0E2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24945065">
    <w:abstractNumId w:val="1"/>
  </w:num>
  <w:num w:numId="2" w16cid:durableId="1955789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27324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F3C"/>
    <w:rsid w:val="00001343"/>
    <w:rsid w:val="000E504A"/>
    <w:rsid w:val="00120548"/>
    <w:rsid w:val="0017269F"/>
    <w:rsid w:val="001A22F0"/>
    <w:rsid w:val="001F0881"/>
    <w:rsid w:val="00221AB8"/>
    <w:rsid w:val="0024072A"/>
    <w:rsid w:val="002456B2"/>
    <w:rsid w:val="00254A15"/>
    <w:rsid w:val="002725C8"/>
    <w:rsid w:val="002753A5"/>
    <w:rsid w:val="002F070F"/>
    <w:rsid w:val="002F6A85"/>
    <w:rsid w:val="0034726B"/>
    <w:rsid w:val="00373905"/>
    <w:rsid w:val="00396D84"/>
    <w:rsid w:val="003973C0"/>
    <w:rsid w:val="0043054C"/>
    <w:rsid w:val="0045068F"/>
    <w:rsid w:val="00496D1E"/>
    <w:rsid w:val="004A0F3C"/>
    <w:rsid w:val="00506CF8"/>
    <w:rsid w:val="005506BA"/>
    <w:rsid w:val="00565EA0"/>
    <w:rsid w:val="005C5262"/>
    <w:rsid w:val="005D1D47"/>
    <w:rsid w:val="006C3BE1"/>
    <w:rsid w:val="007B12D5"/>
    <w:rsid w:val="007E1830"/>
    <w:rsid w:val="00824985"/>
    <w:rsid w:val="008367C4"/>
    <w:rsid w:val="00887E93"/>
    <w:rsid w:val="0091356D"/>
    <w:rsid w:val="009B56D6"/>
    <w:rsid w:val="00A90AE7"/>
    <w:rsid w:val="00AA00F6"/>
    <w:rsid w:val="00B60EFC"/>
    <w:rsid w:val="00B66C33"/>
    <w:rsid w:val="00B80F62"/>
    <w:rsid w:val="00BB7BE3"/>
    <w:rsid w:val="00BE6EED"/>
    <w:rsid w:val="00C03C5E"/>
    <w:rsid w:val="00C7105F"/>
    <w:rsid w:val="00C82F80"/>
    <w:rsid w:val="00CC3CF8"/>
    <w:rsid w:val="00CD1734"/>
    <w:rsid w:val="00D14BE7"/>
    <w:rsid w:val="00D24C60"/>
    <w:rsid w:val="00D427DB"/>
    <w:rsid w:val="00D50992"/>
    <w:rsid w:val="00D51C99"/>
    <w:rsid w:val="00D920D4"/>
    <w:rsid w:val="00E176E8"/>
    <w:rsid w:val="00E31198"/>
    <w:rsid w:val="00E34DAC"/>
    <w:rsid w:val="00E628B0"/>
    <w:rsid w:val="00E779BA"/>
    <w:rsid w:val="00EA6832"/>
    <w:rsid w:val="00F03214"/>
    <w:rsid w:val="00F33BDC"/>
    <w:rsid w:val="00F81C6B"/>
    <w:rsid w:val="00FB4B7C"/>
    <w:rsid w:val="00FC2F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11101"/>
  <w15:chartTrackingRefBased/>
  <w15:docId w15:val="{E51501A9-A180-45C9-9DE1-00468EEFC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54C"/>
    <w:pPr>
      <w:spacing w:after="200" w:line="276" w:lineRule="auto"/>
    </w:pPr>
  </w:style>
  <w:style w:type="paragraph" w:styleId="Heading3">
    <w:name w:val="heading 3"/>
    <w:basedOn w:val="Normal"/>
    <w:next w:val="Normal"/>
    <w:link w:val="Heading3Char"/>
    <w:uiPriority w:val="9"/>
    <w:unhideWhenUsed/>
    <w:qFormat/>
    <w:rsid w:val="004A0F3C"/>
    <w:pPr>
      <w:keepNext/>
      <w:keepLines/>
      <w:spacing w:after="0"/>
      <w:outlineLvl w:val="2"/>
    </w:pPr>
    <w:rPr>
      <w:rFonts w:eastAsiaTheme="majorEastAsia" w:cstheme="majorBidi"/>
      <w:b/>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A0F3C"/>
    <w:rPr>
      <w:rFonts w:eastAsiaTheme="majorEastAsia" w:cstheme="majorBidi"/>
      <w:b/>
      <w:sz w:val="26"/>
      <w:szCs w:val="24"/>
    </w:rPr>
  </w:style>
  <w:style w:type="character" w:styleId="CommentReference">
    <w:name w:val="annotation reference"/>
    <w:basedOn w:val="DefaultParagraphFont"/>
    <w:uiPriority w:val="99"/>
    <w:semiHidden/>
    <w:unhideWhenUsed/>
    <w:rsid w:val="004A0F3C"/>
    <w:rPr>
      <w:sz w:val="16"/>
      <w:szCs w:val="16"/>
    </w:rPr>
  </w:style>
  <w:style w:type="paragraph" w:styleId="CommentText">
    <w:name w:val="annotation text"/>
    <w:basedOn w:val="Normal"/>
    <w:link w:val="CommentTextChar"/>
    <w:uiPriority w:val="99"/>
    <w:unhideWhenUsed/>
    <w:rsid w:val="004A0F3C"/>
    <w:pPr>
      <w:spacing w:line="240" w:lineRule="auto"/>
    </w:pPr>
    <w:rPr>
      <w:sz w:val="20"/>
      <w:szCs w:val="20"/>
    </w:rPr>
  </w:style>
  <w:style w:type="character" w:customStyle="1" w:styleId="CommentTextChar">
    <w:name w:val="Comment Text Char"/>
    <w:basedOn w:val="DefaultParagraphFont"/>
    <w:link w:val="CommentText"/>
    <w:uiPriority w:val="99"/>
    <w:rsid w:val="004A0F3C"/>
    <w:rPr>
      <w:sz w:val="20"/>
      <w:szCs w:val="20"/>
    </w:rPr>
  </w:style>
  <w:style w:type="paragraph" w:styleId="CommentSubject">
    <w:name w:val="annotation subject"/>
    <w:basedOn w:val="CommentText"/>
    <w:next w:val="CommentText"/>
    <w:link w:val="CommentSubjectChar"/>
    <w:uiPriority w:val="99"/>
    <w:semiHidden/>
    <w:unhideWhenUsed/>
    <w:rsid w:val="00221AB8"/>
    <w:rPr>
      <w:b/>
      <w:bCs/>
    </w:rPr>
  </w:style>
  <w:style w:type="character" w:customStyle="1" w:styleId="CommentSubjectChar">
    <w:name w:val="Comment Subject Char"/>
    <w:basedOn w:val="CommentTextChar"/>
    <w:link w:val="CommentSubject"/>
    <w:uiPriority w:val="99"/>
    <w:semiHidden/>
    <w:rsid w:val="00221AB8"/>
    <w:rPr>
      <w:b/>
      <w:bCs/>
      <w:sz w:val="20"/>
      <w:szCs w:val="20"/>
    </w:rPr>
  </w:style>
  <w:style w:type="character" w:customStyle="1" w:styleId="equationtd">
    <w:name w:val="equationtd"/>
    <w:basedOn w:val="DefaultParagraphFont"/>
    <w:rsid w:val="00565EA0"/>
  </w:style>
  <w:style w:type="paragraph" w:styleId="ListParagraph">
    <w:name w:val="List Paragraph"/>
    <w:basedOn w:val="Normal"/>
    <w:uiPriority w:val="34"/>
    <w:qFormat/>
    <w:rsid w:val="0043054C"/>
    <w:pPr>
      <w:ind w:left="720"/>
      <w:contextualSpacing/>
    </w:pPr>
  </w:style>
  <w:style w:type="character" w:customStyle="1" w:styleId="Title1">
    <w:name w:val="Title1"/>
    <w:basedOn w:val="DefaultParagraphFont"/>
    <w:rsid w:val="00496D1E"/>
  </w:style>
  <w:style w:type="character" w:styleId="Hyperlink">
    <w:name w:val="Hyperlink"/>
    <w:basedOn w:val="DefaultParagraphFont"/>
    <w:uiPriority w:val="99"/>
    <w:unhideWhenUsed/>
    <w:rsid w:val="00CD1734"/>
    <w:rPr>
      <w:color w:val="0563C1" w:themeColor="hyperlink"/>
      <w:u w:val="single"/>
    </w:rPr>
  </w:style>
  <w:style w:type="paragraph" w:styleId="PlainText">
    <w:name w:val="Plain Text"/>
    <w:basedOn w:val="Normal"/>
    <w:link w:val="PlainTextChar"/>
    <w:uiPriority w:val="99"/>
    <w:unhideWhenUsed/>
    <w:rsid w:val="00CD1734"/>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CD1734"/>
    <w:rPr>
      <w:rFonts w:ascii="Calibri" w:hAnsi="Calibri"/>
      <w:szCs w:val="21"/>
    </w:rPr>
  </w:style>
  <w:style w:type="character" w:customStyle="1" w:styleId="nlmetal">
    <w:name w:val="nlm_etal"/>
    <w:basedOn w:val="DefaultParagraphFont"/>
    <w:rsid w:val="00CD1734"/>
  </w:style>
  <w:style w:type="character" w:customStyle="1" w:styleId="nlmarticle-title">
    <w:name w:val="nlm_article-title"/>
    <w:basedOn w:val="DefaultParagraphFont"/>
    <w:rsid w:val="00CD1734"/>
  </w:style>
  <w:style w:type="character" w:customStyle="1" w:styleId="nlmyear">
    <w:name w:val="nlm_year"/>
    <w:basedOn w:val="DefaultParagraphFont"/>
    <w:rsid w:val="00CD1734"/>
  </w:style>
  <w:style w:type="character" w:customStyle="1" w:styleId="nlmfpage">
    <w:name w:val="nlm_fpage"/>
    <w:basedOn w:val="DefaultParagraphFont"/>
    <w:rsid w:val="00CD1734"/>
  </w:style>
  <w:style w:type="character" w:customStyle="1" w:styleId="nlmlpage">
    <w:name w:val="nlm_lpage"/>
    <w:basedOn w:val="DefaultParagraphFont"/>
    <w:rsid w:val="00CD1734"/>
  </w:style>
  <w:style w:type="character" w:customStyle="1" w:styleId="cit">
    <w:name w:val="cit"/>
    <w:basedOn w:val="DefaultParagraphFont"/>
    <w:rsid w:val="002F6A85"/>
  </w:style>
  <w:style w:type="character" w:styleId="UnresolvedMention">
    <w:name w:val="Unresolved Mention"/>
    <w:basedOn w:val="DefaultParagraphFont"/>
    <w:uiPriority w:val="99"/>
    <w:semiHidden/>
    <w:unhideWhenUsed/>
    <w:rsid w:val="00BB7BE3"/>
    <w:rPr>
      <w:color w:val="605E5C"/>
      <w:shd w:val="clear" w:color="auto" w:fill="E1DFDD"/>
    </w:rPr>
  </w:style>
  <w:style w:type="character" w:customStyle="1" w:styleId="highwire-citation-authors">
    <w:name w:val="highwire-citation-authors"/>
    <w:basedOn w:val="DefaultParagraphFont"/>
    <w:rsid w:val="00AA00F6"/>
  </w:style>
  <w:style w:type="character" w:customStyle="1" w:styleId="highwire-citation-author">
    <w:name w:val="highwire-citation-author"/>
    <w:basedOn w:val="DefaultParagraphFont"/>
    <w:rsid w:val="00AA00F6"/>
  </w:style>
  <w:style w:type="character" w:customStyle="1" w:styleId="nlm-surname">
    <w:name w:val="nlm-surname"/>
    <w:basedOn w:val="DefaultParagraphFont"/>
    <w:rsid w:val="00AA00F6"/>
  </w:style>
  <w:style w:type="character" w:customStyle="1" w:styleId="citation-et">
    <w:name w:val="citation-et"/>
    <w:basedOn w:val="DefaultParagraphFont"/>
    <w:rsid w:val="00AA00F6"/>
  </w:style>
  <w:style w:type="character" w:customStyle="1" w:styleId="highwire-cite-metadata-journal">
    <w:name w:val="highwire-cite-metadata-journal"/>
    <w:basedOn w:val="DefaultParagraphFont"/>
    <w:rsid w:val="00AA00F6"/>
  </w:style>
  <w:style w:type="character" w:customStyle="1" w:styleId="highwire-cite-metadata-year">
    <w:name w:val="highwire-cite-metadata-year"/>
    <w:basedOn w:val="DefaultParagraphFont"/>
    <w:rsid w:val="00AA00F6"/>
  </w:style>
  <w:style w:type="character" w:customStyle="1" w:styleId="highwire-cite-metadata-volume">
    <w:name w:val="highwire-cite-metadata-volume"/>
    <w:basedOn w:val="DefaultParagraphFont"/>
    <w:rsid w:val="00AA00F6"/>
  </w:style>
  <w:style w:type="character" w:customStyle="1" w:styleId="highwire-cite-metadata-elocation-id">
    <w:name w:val="highwire-cite-metadata-elocation-id"/>
    <w:basedOn w:val="DefaultParagraphFont"/>
    <w:rsid w:val="00AA00F6"/>
  </w:style>
  <w:style w:type="character" w:customStyle="1" w:styleId="highwire-cite-metadata-doi">
    <w:name w:val="highwire-cite-metadata-doi"/>
    <w:basedOn w:val="DefaultParagraphFont"/>
    <w:rsid w:val="00AA00F6"/>
  </w:style>
  <w:style w:type="character" w:customStyle="1" w:styleId="label">
    <w:name w:val="label"/>
    <w:basedOn w:val="DefaultParagraphFont"/>
    <w:rsid w:val="00AA00F6"/>
  </w:style>
  <w:style w:type="character" w:styleId="Emphasis">
    <w:name w:val="Emphasis"/>
    <w:basedOn w:val="DefaultParagraphFont"/>
    <w:uiPriority w:val="20"/>
    <w:qFormat/>
    <w:rsid w:val="00D51C99"/>
    <w:rPr>
      <w:i/>
      <w:iCs/>
    </w:rPr>
  </w:style>
  <w:style w:type="paragraph" w:styleId="Revision">
    <w:name w:val="Revision"/>
    <w:hidden/>
    <w:uiPriority w:val="99"/>
    <w:semiHidden/>
    <w:rsid w:val="00D920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296023">
      <w:bodyDiv w:val="1"/>
      <w:marLeft w:val="0"/>
      <w:marRight w:val="0"/>
      <w:marTop w:val="0"/>
      <w:marBottom w:val="0"/>
      <w:divBdr>
        <w:top w:val="none" w:sz="0" w:space="0" w:color="auto"/>
        <w:left w:val="none" w:sz="0" w:space="0" w:color="auto"/>
        <w:bottom w:val="none" w:sz="0" w:space="0" w:color="auto"/>
        <w:right w:val="none" w:sz="0" w:space="0" w:color="auto"/>
      </w:divBdr>
    </w:div>
    <w:div w:id="1148479624">
      <w:bodyDiv w:val="1"/>
      <w:marLeft w:val="0"/>
      <w:marRight w:val="0"/>
      <w:marTop w:val="0"/>
      <w:marBottom w:val="0"/>
      <w:divBdr>
        <w:top w:val="none" w:sz="0" w:space="0" w:color="auto"/>
        <w:left w:val="none" w:sz="0" w:space="0" w:color="auto"/>
        <w:bottom w:val="none" w:sz="0" w:space="0" w:color="auto"/>
        <w:right w:val="none" w:sz="0" w:space="0" w:color="auto"/>
      </w:divBdr>
      <w:divsChild>
        <w:div w:id="2058579050">
          <w:marLeft w:val="0"/>
          <w:marRight w:val="0"/>
          <w:marTop w:val="0"/>
          <w:marBottom w:val="0"/>
          <w:divBdr>
            <w:top w:val="none" w:sz="0" w:space="0" w:color="auto"/>
            <w:left w:val="none" w:sz="0" w:space="0" w:color="auto"/>
            <w:bottom w:val="none" w:sz="0" w:space="0" w:color="auto"/>
            <w:right w:val="none" w:sz="0" w:space="0" w:color="auto"/>
          </w:divBdr>
        </w:div>
        <w:div w:id="923762152">
          <w:marLeft w:val="0"/>
          <w:marRight w:val="0"/>
          <w:marTop w:val="0"/>
          <w:marBottom w:val="0"/>
          <w:divBdr>
            <w:top w:val="none" w:sz="0" w:space="0" w:color="auto"/>
            <w:left w:val="none" w:sz="0" w:space="0" w:color="auto"/>
            <w:bottom w:val="none" w:sz="0" w:space="0" w:color="auto"/>
            <w:right w:val="none" w:sz="0" w:space="0" w:color="auto"/>
          </w:divBdr>
        </w:div>
        <w:div w:id="1813402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hi-scotland.com/projects/dynamic-sco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9</Pages>
  <Words>3196</Words>
  <Characters>18221</Characters>
  <Application>Microsoft Office Word</Application>
  <DocSecurity>0</DocSecurity>
  <Lines>151</Lines>
  <Paragraphs>42</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Telemonitoring In Long-Term Conditions</vt:lpstr>
      <vt:lpstr>        The following is a high level review conducted for the Virtual Capacity Group of</vt:lpstr>
      <vt:lpstr>        The problem</vt:lpstr>
    </vt:vector>
  </TitlesOfParts>
  <Company/>
  <LinksUpToDate>false</LinksUpToDate>
  <CharactersWithSpaces>21375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MCKINSTRY Brian</dc:creator>
  <cp:keywords/>
  <dc:description/>
  <cp:lastModifiedBy>Morag Hearty</cp:lastModifiedBy>
  <cp:revision>11</cp:revision>
  <dcterms:created xsi:type="dcterms:W3CDTF">2023-05-11T15:27:00Z</dcterms:created>
  <dcterms:modified xsi:type="dcterms:W3CDTF">2023-05-18T10:04:00Z</dcterms:modified>
</cp:coreProperties>
</file>