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2215" w14:textId="61BD8746" w:rsidR="00037C24" w:rsidRPr="00251C48" w:rsidRDefault="00037C24" w:rsidP="005E5723">
      <w:pPr>
        <w:spacing w:line="276" w:lineRule="auto"/>
        <w:rPr>
          <w:b/>
          <w:bCs/>
        </w:rPr>
      </w:pPr>
      <w:r w:rsidRPr="00251C48">
        <w:rPr>
          <w:b/>
          <w:bCs/>
        </w:rPr>
        <w:t xml:space="preserve">The place </w:t>
      </w:r>
      <w:r>
        <w:rPr>
          <w:b/>
          <w:bCs/>
        </w:rPr>
        <w:t xml:space="preserve">of </w:t>
      </w:r>
      <w:r w:rsidRPr="00251C48">
        <w:rPr>
          <w:b/>
          <w:bCs/>
        </w:rPr>
        <w:t xml:space="preserve">telemonitoring </w:t>
      </w:r>
      <w:r>
        <w:rPr>
          <w:b/>
          <w:bCs/>
        </w:rPr>
        <w:t>in</w:t>
      </w:r>
      <w:r w:rsidRPr="00251C48">
        <w:rPr>
          <w:b/>
          <w:bCs/>
        </w:rPr>
        <w:t xml:space="preserve"> </w:t>
      </w:r>
      <w:r w:rsidR="004E3FCE">
        <w:rPr>
          <w:b/>
          <w:bCs/>
        </w:rPr>
        <w:t xml:space="preserve">managing </w:t>
      </w:r>
      <w:r w:rsidRPr="00251C48">
        <w:rPr>
          <w:b/>
          <w:bCs/>
        </w:rPr>
        <w:t>COVID-19</w:t>
      </w:r>
    </w:p>
    <w:p w14:paraId="3FD30B39" w14:textId="77777777" w:rsidR="00037C24" w:rsidRDefault="00037C24" w:rsidP="005E5723">
      <w:pPr>
        <w:spacing w:line="276" w:lineRule="auto"/>
        <w:rPr>
          <w:b/>
          <w:bCs/>
        </w:rPr>
      </w:pPr>
    </w:p>
    <w:p w14:paraId="3ECBB4D4" w14:textId="14DA0C25" w:rsidR="002F5B67" w:rsidRPr="00517BEF" w:rsidRDefault="002F5B67" w:rsidP="00517BEF">
      <w:pPr>
        <w:spacing w:line="276" w:lineRule="auto"/>
        <w:rPr>
          <w:rFonts w:cstheme="minorHAnsi"/>
          <w:b/>
          <w:bCs/>
        </w:rPr>
      </w:pPr>
      <w:bookmarkStart w:id="0" w:name="_Hlk40339905"/>
      <w:bookmarkStart w:id="1" w:name="_Hlk43191155"/>
      <w:r w:rsidRPr="00517BEF">
        <w:rPr>
          <w:rFonts w:cstheme="minorHAnsi"/>
          <w:b/>
          <w:bCs/>
        </w:rPr>
        <w:t>Summary</w:t>
      </w:r>
    </w:p>
    <w:p w14:paraId="39D5E6A7" w14:textId="2CDEF322" w:rsidR="00C251E0" w:rsidRPr="00517BEF" w:rsidRDefault="00466EBA" w:rsidP="00517BEF">
      <w:pPr>
        <w:spacing w:line="276" w:lineRule="auto"/>
        <w:rPr>
          <w:rFonts w:cstheme="minorHAnsi"/>
        </w:rPr>
      </w:pPr>
      <w:r w:rsidRPr="00517BEF">
        <w:rPr>
          <w:rFonts w:cstheme="minorHAnsi"/>
        </w:rPr>
        <w:t xml:space="preserve">In many countries, most people </w:t>
      </w:r>
      <w:r w:rsidR="00E24CA9" w:rsidRPr="00517BEF">
        <w:rPr>
          <w:rFonts w:cstheme="minorHAnsi"/>
        </w:rPr>
        <w:t xml:space="preserve">who contact health services with </w:t>
      </w:r>
      <w:r w:rsidR="00B82519" w:rsidRPr="00517BEF">
        <w:rPr>
          <w:rFonts w:cstheme="minorHAnsi"/>
        </w:rPr>
        <w:t>s</w:t>
      </w:r>
      <w:r w:rsidR="00272A95" w:rsidRPr="00517BEF">
        <w:rPr>
          <w:rFonts w:cstheme="minorHAnsi"/>
        </w:rPr>
        <w:t xml:space="preserve">uspected </w:t>
      </w:r>
      <w:r w:rsidR="00195C7D" w:rsidRPr="00517BEF">
        <w:rPr>
          <w:rFonts w:cstheme="minorHAnsi"/>
        </w:rPr>
        <w:t>COVID-19</w:t>
      </w:r>
      <w:r w:rsidRPr="00517BEF">
        <w:rPr>
          <w:rFonts w:cstheme="minorHAnsi"/>
        </w:rPr>
        <w:t xml:space="preserve"> </w:t>
      </w:r>
      <w:r w:rsidR="00202337" w:rsidRPr="00517BEF">
        <w:rPr>
          <w:rFonts w:cstheme="minorHAnsi"/>
        </w:rPr>
        <w:t xml:space="preserve">symptoms </w:t>
      </w:r>
      <w:r w:rsidRPr="00517BEF">
        <w:rPr>
          <w:rFonts w:cstheme="minorHAnsi"/>
        </w:rPr>
        <w:t xml:space="preserve">are asked to self-isolate at </w:t>
      </w:r>
      <w:r w:rsidR="00195C7D" w:rsidRPr="00517BEF">
        <w:rPr>
          <w:rFonts w:cstheme="minorHAnsi"/>
        </w:rPr>
        <w:t>home</w:t>
      </w:r>
      <w:r w:rsidR="00A73AE0" w:rsidRPr="00517BEF">
        <w:rPr>
          <w:rFonts w:cstheme="minorHAnsi"/>
        </w:rPr>
        <w:t xml:space="preserve">. Although they are </w:t>
      </w:r>
      <w:r w:rsidR="00195C7D" w:rsidRPr="00517BEF">
        <w:rPr>
          <w:rFonts w:cstheme="minorHAnsi"/>
        </w:rPr>
        <w:t>advi</w:t>
      </w:r>
      <w:r w:rsidR="00A73AE0" w:rsidRPr="00517BEF">
        <w:rPr>
          <w:rFonts w:cstheme="minorHAnsi"/>
        </w:rPr>
        <w:t>s</w:t>
      </w:r>
      <w:r w:rsidR="00195C7D" w:rsidRPr="00517BEF">
        <w:rPr>
          <w:rFonts w:cstheme="minorHAnsi"/>
        </w:rPr>
        <w:t>e</w:t>
      </w:r>
      <w:r w:rsidR="00A73AE0" w:rsidRPr="00517BEF">
        <w:rPr>
          <w:rFonts w:cstheme="minorHAnsi"/>
        </w:rPr>
        <w:t>d</w:t>
      </w:r>
      <w:r w:rsidR="00195C7D" w:rsidRPr="00517BEF">
        <w:rPr>
          <w:rFonts w:cstheme="minorHAnsi"/>
        </w:rPr>
        <w:t xml:space="preserve"> </w:t>
      </w:r>
      <w:r w:rsidRPr="00517BEF">
        <w:rPr>
          <w:rFonts w:cstheme="minorHAnsi"/>
        </w:rPr>
        <w:t>to recontact health services</w:t>
      </w:r>
      <w:r w:rsidR="00195C7D" w:rsidRPr="00517BEF">
        <w:rPr>
          <w:rFonts w:cstheme="minorHAnsi"/>
        </w:rPr>
        <w:t xml:space="preserve"> if their symptoms worsen</w:t>
      </w:r>
      <w:r w:rsidR="00A73AE0" w:rsidRPr="00517BEF">
        <w:rPr>
          <w:rFonts w:cstheme="minorHAnsi"/>
        </w:rPr>
        <w:t xml:space="preserve">, </w:t>
      </w:r>
      <w:r w:rsidR="006B6A32" w:rsidRPr="00517BEF">
        <w:rPr>
          <w:rFonts w:cstheme="minorHAnsi"/>
        </w:rPr>
        <w:t xml:space="preserve">there is often little </w:t>
      </w:r>
      <w:r w:rsidR="00195C7D" w:rsidRPr="00517BEF">
        <w:rPr>
          <w:rFonts w:cstheme="minorHAnsi"/>
        </w:rPr>
        <w:t xml:space="preserve">structured follow-up. However, </w:t>
      </w:r>
      <w:r w:rsidRPr="00517BEF">
        <w:rPr>
          <w:rFonts w:cstheme="minorHAnsi"/>
        </w:rPr>
        <w:t xml:space="preserve">a significant proportion </w:t>
      </w:r>
      <w:r w:rsidR="00195C7D" w:rsidRPr="00517BEF">
        <w:rPr>
          <w:rFonts w:cstheme="minorHAnsi"/>
        </w:rPr>
        <w:t xml:space="preserve">of these patients </w:t>
      </w:r>
      <w:r w:rsidRPr="00517BEF">
        <w:rPr>
          <w:rFonts w:cstheme="minorHAnsi"/>
        </w:rPr>
        <w:t xml:space="preserve">will experience </w:t>
      </w:r>
      <w:r w:rsidR="00195C7D" w:rsidRPr="00517BEF">
        <w:rPr>
          <w:rFonts w:cstheme="minorHAnsi"/>
        </w:rPr>
        <w:t>relatively rapid deterioration</w:t>
      </w:r>
      <w:r w:rsidR="003D7AEB" w:rsidRPr="00517BEF">
        <w:rPr>
          <w:rFonts w:cstheme="minorHAnsi"/>
        </w:rPr>
        <w:t xml:space="preserve"> </w:t>
      </w:r>
      <w:r w:rsidR="0032767F" w:rsidRPr="00517BEF">
        <w:rPr>
          <w:rFonts w:cstheme="minorHAnsi"/>
        </w:rPr>
        <w:t>while self-isolating</w:t>
      </w:r>
      <w:r w:rsidR="00195C7D" w:rsidRPr="00517BEF">
        <w:rPr>
          <w:rFonts w:cstheme="minorHAnsi"/>
        </w:rPr>
        <w:t>.</w:t>
      </w:r>
      <w:r w:rsidR="000C2799" w:rsidRPr="00517BEF">
        <w:rPr>
          <w:rFonts w:cstheme="minorHAnsi"/>
        </w:rPr>
        <w:t xml:space="preserve"> </w:t>
      </w:r>
      <w:r w:rsidR="002F5B67" w:rsidRPr="00517BEF">
        <w:rPr>
          <w:rFonts w:cstheme="minorHAnsi"/>
        </w:rPr>
        <w:t>Some of these experience very low oxygen saturations with little in the way of breathlessness. Certain groups such as the elderly and those with unde</w:t>
      </w:r>
      <w:r w:rsidR="007B2A11" w:rsidRPr="00517BEF">
        <w:rPr>
          <w:rFonts w:cstheme="minorHAnsi"/>
        </w:rPr>
        <w:t>r</w:t>
      </w:r>
      <w:r w:rsidR="002F5B67" w:rsidRPr="00517BEF">
        <w:rPr>
          <w:rFonts w:cstheme="minorHAnsi"/>
        </w:rPr>
        <w:t xml:space="preserve">lying medical conditions are at particular risk of deterioration. Other groups (NHS staff, BAME, and obese patients) are known to particularly delay presentation. </w:t>
      </w:r>
      <w:r w:rsidR="000C2799" w:rsidRPr="00517BEF">
        <w:rPr>
          <w:rFonts w:cstheme="minorHAnsi"/>
        </w:rPr>
        <w:t>There is increasing evidence</w:t>
      </w:r>
      <w:r w:rsidR="002F5B67" w:rsidRPr="00517BEF">
        <w:rPr>
          <w:rFonts w:cstheme="minorHAnsi"/>
        </w:rPr>
        <w:t>, however,</w:t>
      </w:r>
      <w:r w:rsidR="000C2799" w:rsidRPr="00517BEF">
        <w:rPr>
          <w:rFonts w:cstheme="minorHAnsi"/>
        </w:rPr>
        <w:t xml:space="preserve"> that </w:t>
      </w:r>
      <w:r w:rsidR="002F5B67" w:rsidRPr="00517BEF">
        <w:rPr>
          <w:rFonts w:cstheme="minorHAnsi"/>
        </w:rPr>
        <w:t xml:space="preserve">early detection of deterioration and treatment is associated with improved outcomes. </w:t>
      </w:r>
    </w:p>
    <w:p w14:paraId="372AAF69" w14:textId="5DF4F5C6" w:rsidR="00195C7D" w:rsidRPr="00517BEF" w:rsidRDefault="006A0EA6" w:rsidP="00517BEF">
      <w:pPr>
        <w:spacing w:line="276" w:lineRule="auto"/>
        <w:rPr>
          <w:rFonts w:cstheme="minorHAnsi"/>
        </w:rPr>
      </w:pPr>
      <w:r w:rsidRPr="00517BEF">
        <w:rPr>
          <w:rFonts w:cstheme="minorHAnsi"/>
        </w:rPr>
        <w:t>T</w:t>
      </w:r>
      <w:r w:rsidR="00195C7D" w:rsidRPr="00517BEF">
        <w:rPr>
          <w:rFonts w:cstheme="minorHAnsi"/>
        </w:rPr>
        <w:t xml:space="preserve">elemonitoring, </w:t>
      </w:r>
      <w:r w:rsidR="00EB180E" w:rsidRPr="00517BEF">
        <w:rPr>
          <w:rFonts w:cstheme="minorHAnsi"/>
        </w:rPr>
        <w:t xml:space="preserve">where patients self-monitor and report their symptoms and physiological readings </w:t>
      </w:r>
      <w:r w:rsidR="00DE6428" w:rsidRPr="00517BEF">
        <w:rPr>
          <w:rFonts w:cstheme="minorHAnsi"/>
        </w:rPr>
        <w:t xml:space="preserve">electronically </w:t>
      </w:r>
      <w:r w:rsidR="00EB180E" w:rsidRPr="00517BEF">
        <w:rPr>
          <w:rFonts w:cstheme="minorHAnsi"/>
        </w:rPr>
        <w:t>to their clinician</w:t>
      </w:r>
      <w:r w:rsidRPr="00517BEF">
        <w:rPr>
          <w:rFonts w:cstheme="minorHAnsi"/>
        </w:rPr>
        <w:t xml:space="preserve">, </w:t>
      </w:r>
      <w:r w:rsidR="00DE6428" w:rsidRPr="00517BEF">
        <w:rPr>
          <w:rFonts w:cstheme="minorHAnsi"/>
        </w:rPr>
        <w:t>has been widely used in long</w:t>
      </w:r>
      <w:r w:rsidR="00272A95" w:rsidRPr="00517BEF">
        <w:rPr>
          <w:rFonts w:cstheme="minorHAnsi"/>
        </w:rPr>
        <w:t>-</w:t>
      </w:r>
      <w:r w:rsidR="00DE6428" w:rsidRPr="00517BEF">
        <w:rPr>
          <w:rFonts w:cstheme="minorHAnsi"/>
        </w:rPr>
        <w:t>term condition management.</w:t>
      </w:r>
      <w:r w:rsidR="0095067E" w:rsidRPr="00517BEF">
        <w:rPr>
          <w:rFonts w:cstheme="minorHAnsi"/>
        </w:rPr>
        <w:t xml:space="preserve"> </w:t>
      </w:r>
      <w:r w:rsidR="00DE6428" w:rsidRPr="00517BEF">
        <w:rPr>
          <w:rFonts w:cstheme="minorHAnsi"/>
        </w:rPr>
        <w:t>Its use is</w:t>
      </w:r>
      <w:r w:rsidR="00195C7D" w:rsidRPr="00517BEF">
        <w:rPr>
          <w:rFonts w:cstheme="minorHAnsi"/>
        </w:rPr>
        <w:t xml:space="preserve"> </w:t>
      </w:r>
      <w:r w:rsidR="00C251E0" w:rsidRPr="00517BEF">
        <w:rPr>
          <w:rFonts w:cstheme="minorHAnsi"/>
        </w:rPr>
        <w:t>rapidly being stepped up</w:t>
      </w:r>
      <w:r w:rsidR="00EB6551" w:rsidRPr="00517BEF">
        <w:rPr>
          <w:rFonts w:cstheme="minorHAnsi"/>
        </w:rPr>
        <w:t xml:space="preserve"> world-wide</w:t>
      </w:r>
      <w:r w:rsidR="00C251E0" w:rsidRPr="00517BEF">
        <w:rPr>
          <w:rFonts w:cstheme="minorHAnsi"/>
        </w:rPr>
        <w:t xml:space="preserve"> </w:t>
      </w:r>
      <w:r w:rsidR="00DE6428" w:rsidRPr="00517BEF">
        <w:rPr>
          <w:rFonts w:cstheme="minorHAnsi"/>
        </w:rPr>
        <w:t xml:space="preserve">in </w:t>
      </w:r>
      <w:r w:rsidR="00272A95" w:rsidRPr="00517BEF">
        <w:rPr>
          <w:rFonts w:cstheme="minorHAnsi"/>
        </w:rPr>
        <w:t xml:space="preserve">the management of </w:t>
      </w:r>
      <w:r w:rsidR="00EB180E" w:rsidRPr="00517BEF">
        <w:rPr>
          <w:rFonts w:cstheme="minorHAnsi"/>
        </w:rPr>
        <w:t xml:space="preserve">self-isolating </w:t>
      </w:r>
      <w:r w:rsidR="00C251E0" w:rsidRPr="00517BEF">
        <w:rPr>
          <w:rFonts w:cstheme="minorHAnsi"/>
        </w:rPr>
        <w:t>elderly and vulnerable people</w:t>
      </w:r>
      <w:r w:rsidR="00A924D1" w:rsidRPr="00517BEF">
        <w:rPr>
          <w:rFonts w:cstheme="minorHAnsi"/>
        </w:rPr>
        <w:t xml:space="preserve"> in the COVID-19 pandemic</w:t>
      </w:r>
      <w:r w:rsidR="002F5B67" w:rsidRPr="00517BEF">
        <w:rPr>
          <w:rFonts w:cstheme="minorHAnsi"/>
        </w:rPr>
        <w:t xml:space="preserve">. </w:t>
      </w:r>
      <w:r w:rsidR="00DE6428" w:rsidRPr="00517BEF">
        <w:rPr>
          <w:rFonts w:cstheme="minorHAnsi"/>
        </w:rPr>
        <w:t>However</w:t>
      </w:r>
      <w:r w:rsidR="002F5CE0" w:rsidRPr="00517BEF">
        <w:rPr>
          <w:rFonts w:cstheme="minorHAnsi"/>
        </w:rPr>
        <w:t>,</w:t>
      </w:r>
      <w:r w:rsidR="00A924D1" w:rsidRPr="00517BEF">
        <w:rPr>
          <w:rFonts w:cstheme="minorHAnsi"/>
        </w:rPr>
        <w:t xml:space="preserve"> telemonitoring </w:t>
      </w:r>
      <w:r w:rsidR="00195C7D" w:rsidRPr="00517BEF">
        <w:rPr>
          <w:rFonts w:cstheme="minorHAnsi"/>
        </w:rPr>
        <w:t xml:space="preserve">can be </w:t>
      </w:r>
      <w:r w:rsidR="00EB180E" w:rsidRPr="00517BEF">
        <w:rPr>
          <w:rFonts w:cstheme="minorHAnsi"/>
        </w:rPr>
        <w:t xml:space="preserve">also be </w:t>
      </w:r>
      <w:r w:rsidR="00195C7D" w:rsidRPr="00517BEF">
        <w:rPr>
          <w:rFonts w:cstheme="minorHAnsi"/>
        </w:rPr>
        <w:t xml:space="preserve">used in </w:t>
      </w:r>
      <w:r w:rsidR="00C251E0" w:rsidRPr="00517BEF">
        <w:rPr>
          <w:rFonts w:cstheme="minorHAnsi"/>
        </w:rPr>
        <w:t xml:space="preserve">the management of </w:t>
      </w:r>
      <w:r w:rsidR="00272A95" w:rsidRPr="00517BEF">
        <w:rPr>
          <w:rFonts w:cstheme="minorHAnsi"/>
        </w:rPr>
        <w:t>suspected</w:t>
      </w:r>
      <w:r w:rsidR="00195C7D" w:rsidRPr="00517BEF">
        <w:rPr>
          <w:rFonts w:cstheme="minorHAnsi"/>
        </w:rPr>
        <w:t xml:space="preserve"> </w:t>
      </w:r>
      <w:r w:rsidR="002F5B67" w:rsidRPr="00517BEF">
        <w:rPr>
          <w:rFonts w:cstheme="minorHAnsi"/>
        </w:rPr>
        <w:t xml:space="preserve">high-risk </w:t>
      </w:r>
      <w:r w:rsidR="00195C7D" w:rsidRPr="00517BEF">
        <w:rPr>
          <w:rFonts w:cstheme="minorHAnsi"/>
        </w:rPr>
        <w:t>COVID-19 patients to detect early signs of deterioration that may require further assessment or hospitalisation</w:t>
      </w:r>
      <w:r w:rsidR="002F5B67" w:rsidRPr="00517BEF">
        <w:rPr>
          <w:rFonts w:cstheme="minorHAnsi"/>
        </w:rPr>
        <w:t xml:space="preserve"> and to encourage them to make contact. </w:t>
      </w:r>
      <w:r w:rsidR="0095067E" w:rsidRPr="00517BEF">
        <w:rPr>
          <w:rFonts w:cstheme="minorHAnsi"/>
        </w:rPr>
        <w:t>(See figure 1 for proposed Scottish system)</w:t>
      </w:r>
      <w:r w:rsidR="007B2A11" w:rsidRPr="00517BEF">
        <w:rPr>
          <w:rFonts w:cstheme="minorHAnsi"/>
        </w:rPr>
        <w:t>.</w:t>
      </w:r>
      <w:r w:rsidR="00BE5F3D" w:rsidRPr="00517BEF">
        <w:rPr>
          <w:rFonts w:cstheme="minorHAnsi"/>
        </w:rPr>
        <w:t xml:space="preserve"> Several observational studies support the use of telemonitoring of symptoms and pulse oximetry and suggest high levels of patient and clinician </w:t>
      </w:r>
      <w:proofErr w:type="spellStart"/>
      <w:r w:rsidR="00BE5F3D" w:rsidRPr="00517BEF">
        <w:rPr>
          <w:rFonts w:cstheme="minorHAnsi"/>
        </w:rPr>
        <w:t>satidafaction</w:t>
      </w:r>
      <w:proofErr w:type="spellEnd"/>
      <w:r w:rsidR="00BE5F3D" w:rsidRPr="00517BEF">
        <w:rPr>
          <w:rFonts w:cstheme="minorHAnsi"/>
        </w:rPr>
        <w:t xml:space="preserve"> with the process.  </w:t>
      </w:r>
    </w:p>
    <w:bookmarkEnd w:id="0"/>
    <w:p w14:paraId="03DEF6A6" w14:textId="77777777" w:rsidR="000223E8" w:rsidRPr="00517BEF" w:rsidRDefault="000223E8" w:rsidP="00517BEF">
      <w:pPr>
        <w:spacing w:line="276" w:lineRule="auto"/>
        <w:rPr>
          <w:rFonts w:cstheme="minorHAnsi"/>
        </w:rPr>
      </w:pPr>
    </w:p>
    <w:p w14:paraId="1B0B2E5C" w14:textId="77777777" w:rsidR="008D4DFD" w:rsidRPr="00517BEF" w:rsidRDefault="008D4DFD" w:rsidP="00517BEF">
      <w:pPr>
        <w:pStyle w:val="Heading3"/>
        <w:spacing w:line="276" w:lineRule="auto"/>
        <w:rPr>
          <w:sz w:val="22"/>
          <w:szCs w:val="22"/>
        </w:rPr>
      </w:pPr>
      <w:r w:rsidRPr="00517BEF">
        <w:rPr>
          <w:sz w:val="22"/>
          <w:szCs w:val="22"/>
        </w:rPr>
        <w:t>Background</w:t>
      </w:r>
    </w:p>
    <w:p w14:paraId="4AEE4288" w14:textId="61FDAE3D" w:rsidR="00E9767A" w:rsidRPr="00517BEF" w:rsidRDefault="00E9767A" w:rsidP="00517BEF">
      <w:pPr>
        <w:spacing w:line="276" w:lineRule="auto"/>
        <w:rPr>
          <w:rFonts w:cstheme="minorHAnsi"/>
        </w:rPr>
      </w:pPr>
      <w:bookmarkStart w:id="2" w:name="_Hlk40339938"/>
      <w:r w:rsidRPr="00517BEF">
        <w:rPr>
          <w:rFonts w:cstheme="minorHAnsi"/>
        </w:rPr>
        <w:t xml:space="preserve">Coronavirus disease 2019 (COVID-19) is a new disease whose natural history is </w:t>
      </w:r>
      <w:r w:rsidR="00E96E07" w:rsidRPr="00517BEF">
        <w:rPr>
          <w:rFonts w:cstheme="minorHAnsi"/>
        </w:rPr>
        <w:t xml:space="preserve">still </w:t>
      </w:r>
      <w:r w:rsidR="00780A58" w:rsidRPr="00517BEF">
        <w:rPr>
          <w:rFonts w:cstheme="minorHAnsi"/>
        </w:rPr>
        <w:t xml:space="preserve">incompletely </w:t>
      </w:r>
      <w:r w:rsidRPr="00517BEF">
        <w:rPr>
          <w:rFonts w:cstheme="minorHAnsi"/>
        </w:rPr>
        <w:t>understood</w:t>
      </w:r>
      <w:r w:rsidR="00D11D04" w:rsidRPr="00517BEF">
        <w:rPr>
          <w:rFonts w:cstheme="minorHAnsi"/>
        </w:rPr>
        <w:t>.</w:t>
      </w:r>
      <w:r w:rsidR="002F5CE0" w:rsidRPr="00517BEF">
        <w:rPr>
          <w:rFonts w:cstheme="minorHAnsi"/>
        </w:rPr>
        <w:t xml:space="preserve"> </w:t>
      </w:r>
      <w:r w:rsidR="00D11D04" w:rsidRPr="00517BEF">
        <w:rPr>
          <w:rFonts w:cstheme="minorHAnsi"/>
        </w:rPr>
        <w:t>H</w:t>
      </w:r>
      <w:r w:rsidR="002F5CE0" w:rsidRPr="00517BEF">
        <w:rPr>
          <w:rFonts w:cstheme="minorHAnsi"/>
        </w:rPr>
        <w:t xml:space="preserve">owever, </w:t>
      </w:r>
      <w:r w:rsidR="00C062FC" w:rsidRPr="00517BEF">
        <w:rPr>
          <w:rFonts w:cstheme="minorHAnsi"/>
        </w:rPr>
        <w:t>i</w:t>
      </w:r>
      <w:r w:rsidRPr="00517BEF">
        <w:rPr>
          <w:rFonts w:cstheme="minorHAnsi"/>
        </w:rPr>
        <w:t>t is known</w:t>
      </w:r>
      <w:r w:rsidR="00C062FC" w:rsidRPr="00517BEF">
        <w:rPr>
          <w:rFonts w:cstheme="minorHAnsi"/>
        </w:rPr>
        <w:t xml:space="preserve"> </w:t>
      </w:r>
      <w:r w:rsidRPr="00517BEF">
        <w:rPr>
          <w:rFonts w:cstheme="minorHAnsi"/>
        </w:rPr>
        <w:t xml:space="preserve">that some patients who </w:t>
      </w:r>
      <w:r w:rsidR="00106793" w:rsidRPr="00517BEF">
        <w:rPr>
          <w:rFonts w:cstheme="minorHAnsi"/>
        </w:rPr>
        <w:t xml:space="preserve">were </w:t>
      </w:r>
      <w:r w:rsidRPr="00517BEF">
        <w:rPr>
          <w:rFonts w:cstheme="minorHAnsi"/>
        </w:rPr>
        <w:t xml:space="preserve">initially not seriously unwell </w:t>
      </w:r>
      <w:r w:rsidR="00272A95" w:rsidRPr="00517BEF">
        <w:rPr>
          <w:rFonts w:cstheme="minorHAnsi"/>
        </w:rPr>
        <w:t xml:space="preserve">later </w:t>
      </w:r>
      <w:r w:rsidRPr="00517BEF">
        <w:rPr>
          <w:rFonts w:cstheme="minorHAnsi"/>
        </w:rPr>
        <w:t xml:space="preserve">develop severe disease requiring </w:t>
      </w:r>
      <w:r w:rsidR="00C062FC" w:rsidRPr="00517BEF">
        <w:rPr>
          <w:rFonts w:cstheme="minorHAnsi"/>
        </w:rPr>
        <w:t xml:space="preserve">hospital </w:t>
      </w:r>
      <w:r w:rsidRPr="00517BEF">
        <w:rPr>
          <w:rFonts w:cstheme="minorHAnsi"/>
        </w:rPr>
        <w:t>admission</w:t>
      </w:r>
      <w:r w:rsidR="00272A95" w:rsidRPr="00517BEF">
        <w:rPr>
          <w:rFonts w:cstheme="minorHAnsi"/>
        </w:rPr>
        <w:t>,</w:t>
      </w:r>
      <w:r w:rsidRPr="00517BEF">
        <w:rPr>
          <w:rFonts w:cstheme="minorHAnsi"/>
        </w:rPr>
        <w:t xml:space="preserve"> </w:t>
      </w:r>
      <w:r w:rsidR="00C062FC" w:rsidRPr="00517BEF">
        <w:rPr>
          <w:rFonts w:cstheme="minorHAnsi"/>
        </w:rPr>
        <w:t>with a sub</w:t>
      </w:r>
      <w:r w:rsidR="00272A95" w:rsidRPr="00517BEF">
        <w:rPr>
          <w:rFonts w:cstheme="minorHAnsi"/>
        </w:rPr>
        <w:t>-</w:t>
      </w:r>
      <w:r w:rsidR="00C062FC" w:rsidRPr="00517BEF">
        <w:rPr>
          <w:rFonts w:cstheme="minorHAnsi"/>
        </w:rPr>
        <w:t>set of these</w:t>
      </w:r>
      <w:r w:rsidR="00272A95" w:rsidRPr="00517BEF">
        <w:rPr>
          <w:rFonts w:cstheme="minorHAnsi"/>
        </w:rPr>
        <w:t xml:space="preserve"> eventually</w:t>
      </w:r>
      <w:r w:rsidR="00C062FC" w:rsidRPr="00517BEF">
        <w:rPr>
          <w:rFonts w:cstheme="minorHAnsi"/>
        </w:rPr>
        <w:t xml:space="preserve"> </w:t>
      </w:r>
      <w:r w:rsidR="00272A95" w:rsidRPr="00517BEF">
        <w:rPr>
          <w:rFonts w:cstheme="minorHAnsi"/>
        </w:rPr>
        <w:t>needing</w:t>
      </w:r>
      <w:r w:rsidR="00C062FC" w:rsidRPr="00517BEF">
        <w:rPr>
          <w:rFonts w:cstheme="minorHAnsi"/>
        </w:rPr>
        <w:t xml:space="preserve"> </w:t>
      </w:r>
      <w:r w:rsidRPr="00517BEF">
        <w:rPr>
          <w:rFonts w:cstheme="minorHAnsi"/>
        </w:rPr>
        <w:t>intensive care.</w:t>
      </w:r>
      <w:r w:rsidR="00643500" w:rsidRPr="00517BEF">
        <w:rPr>
          <w:rStyle w:val="EndnoteReference"/>
          <w:rFonts w:cstheme="minorHAnsi"/>
        </w:rPr>
        <w:endnoteReference w:id="1"/>
      </w:r>
      <w:r w:rsidRPr="00517BEF">
        <w:rPr>
          <w:rFonts w:cstheme="minorHAnsi"/>
        </w:rPr>
        <w:t xml:space="preserve"> </w:t>
      </w:r>
      <w:bookmarkStart w:id="3" w:name="_Hlk40339954"/>
      <w:bookmarkEnd w:id="2"/>
      <w:r w:rsidR="001D7D52" w:rsidRPr="00517BEF">
        <w:rPr>
          <w:rFonts w:cstheme="minorHAnsi"/>
        </w:rPr>
        <w:t xml:space="preserve">In the early stages of the COVID-19 pandemic in Italy, hospitals in Lombardy were quickly overloaded with patients resulting in significant </w:t>
      </w:r>
      <w:r w:rsidR="00502621" w:rsidRPr="00517BEF">
        <w:rPr>
          <w:rFonts w:cstheme="minorHAnsi"/>
        </w:rPr>
        <w:t>hospital-acquired</w:t>
      </w:r>
      <w:r w:rsidR="001D7D52" w:rsidRPr="00517BEF">
        <w:rPr>
          <w:rFonts w:cstheme="minorHAnsi"/>
        </w:rPr>
        <w:t xml:space="preserve"> infections</w:t>
      </w:r>
      <w:bookmarkEnd w:id="3"/>
      <w:r w:rsidR="00180905" w:rsidRPr="00517BEF">
        <w:rPr>
          <w:rFonts w:cstheme="minorHAnsi"/>
        </w:rPr>
        <w:t>.</w:t>
      </w:r>
      <w:r w:rsidR="00643500" w:rsidRPr="00517BEF">
        <w:rPr>
          <w:rStyle w:val="EndnoteReference"/>
          <w:rFonts w:cstheme="minorHAnsi"/>
        </w:rPr>
        <w:endnoteReference w:id="2"/>
      </w:r>
      <w:r w:rsidR="00180905" w:rsidRPr="00517BEF">
        <w:rPr>
          <w:rFonts w:cstheme="minorHAnsi"/>
        </w:rPr>
        <w:t xml:space="preserve"> This  experience was </w:t>
      </w:r>
      <w:r w:rsidR="00502621" w:rsidRPr="00517BEF">
        <w:rPr>
          <w:rFonts w:cstheme="minorHAnsi"/>
        </w:rPr>
        <w:t>also repeated in UK settings</w:t>
      </w:r>
      <w:r w:rsidR="003A6283" w:rsidRPr="00517BEF">
        <w:rPr>
          <w:rFonts w:cstheme="minorHAnsi"/>
        </w:rPr>
        <w:t>.</w:t>
      </w:r>
      <w:r w:rsidR="005012E3" w:rsidRPr="00517BEF">
        <w:rPr>
          <w:rStyle w:val="EndnoteReference"/>
          <w:rFonts w:cstheme="minorHAnsi"/>
        </w:rPr>
        <w:endnoteReference w:id="3"/>
      </w:r>
      <w:r w:rsidR="003A6283" w:rsidRPr="00517BEF">
        <w:rPr>
          <w:rFonts w:cstheme="minorHAnsi"/>
        </w:rPr>
        <w:t xml:space="preserve"> </w:t>
      </w:r>
      <w:bookmarkStart w:id="4" w:name="_Hlk40340004"/>
      <w:r w:rsidR="009304B0" w:rsidRPr="00517BEF">
        <w:rPr>
          <w:rFonts w:cstheme="minorHAnsi"/>
        </w:rPr>
        <w:t>S</w:t>
      </w:r>
      <w:r w:rsidR="00A67BD4" w:rsidRPr="00517BEF">
        <w:rPr>
          <w:rFonts w:cstheme="minorHAnsi"/>
        </w:rPr>
        <w:t xml:space="preserve">afely keeping people out of hospital will </w:t>
      </w:r>
      <w:r w:rsidR="009304B0" w:rsidRPr="00517BEF">
        <w:rPr>
          <w:rFonts w:cstheme="minorHAnsi"/>
        </w:rPr>
        <w:t>remain</w:t>
      </w:r>
      <w:r w:rsidR="00A67BD4" w:rsidRPr="00517BEF">
        <w:rPr>
          <w:rFonts w:cstheme="minorHAnsi"/>
        </w:rPr>
        <w:t xml:space="preserve"> important</w:t>
      </w:r>
      <w:r w:rsidR="009304B0" w:rsidRPr="00517BEF">
        <w:rPr>
          <w:rFonts w:cstheme="minorHAnsi"/>
        </w:rPr>
        <w:t xml:space="preserve"> as the pandemic develops. </w:t>
      </w:r>
    </w:p>
    <w:p w14:paraId="39F1C2D3" w14:textId="5F54E0E9" w:rsidR="001375AC" w:rsidRPr="00517BEF" w:rsidRDefault="009304B0" w:rsidP="00517BEF">
      <w:pPr>
        <w:spacing w:line="276" w:lineRule="auto"/>
        <w:rPr>
          <w:rFonts w:cstheme="minorHAnsi"/>
        </w:rPr>
      </w:pPr>
      <w:r w:rsidRPr="00517BEF">
        <w:rPr>
          <w:rFonts w:cstheme="minorHAnsi"/>
        </w:rPr>
        <w:t>However,</w:t>
      </w:r>
      <w:r w:rsidR="001375AC" w:rsidRPr="00517BEF">
        <w:rPr>
          <w:rFonts w:cstheme="minorHAnsi"/>
        </w:rPr>
        <w:t xml:space="preserve"> it has become clearer that early treatment is associated with better outcomes.</w:t>
      </w:r>
      <w:r w:rsidR="005012E3" w:rsidRPr="00517BEF">
        <w:rPr>
          <w:rStyle w:val="EndnoteReference"/>
          <w:rFonts w:cstheme="minorHAnsi"/>
        </w:rPr>
        <w:endnoteReference w:id="4"/>
      </w:r>
      <w:r w:rsidR="001375AC" w:rsidRPr="00517BEF">
        <w:rPr>
          <w:rFonts w:cstheme="minorHAnsi"/>
        </w:rPr>
        <w:t xml:space="preserve"> </w:t>
      </w:r>
      <w:r w:rsidR="007B2A11" w:rsidRPr="00517BEF">
        <w:rPr>
          <w:rFonts w:cstheme="minorHAnsi"/>
        </w:rPr>
        <w:t>A</w:t>
      </w:r>
      <w:r w:rsidR="00347C81" w:rsidRPr="00517BEF">
        <w:rPr>
          <w:rFonts w:cstheme="minorHAnsi"/>
        </w:rPr>
        <w:t>n analysis of early data from Jian</w:t>
      </w:r>
      <w:r w:rsidR="00BE1EE1">
        <w:rPr>
          <w:rFonts w:cstheme="minorHAnsi"/>
        </w:rPr>
        <w:t>g</w:t>
      </w:r>
      <w:r w:rsidR="00347C81" w:rsidRPr="00517BEF">
        <w:rPr>
          <w:rFonts w:cstheme="minorHAnsi"/>
        </w:rPr>
        <w:t>su province in China suggested that early intervention reduced death rates (&lt;1%) in comparison with Hubei</w:t>
      </w:r>
      <w:r w:rsidR="007B2A11" w:rsidRPr="00517BEF">
        <w:rPr>
          <w:rFonts w:cstheme="minorHAnsi"/>
        </w:rPr>
        <w:t xml:space="preserve"> Province</w:t>
      </w:r>
      <w:r w:rsidR="00347C81" w:rsidRPr="00517BEF">
        <w:rPr>
          <w:rFonts w:cstheme="minorHAnsi"/>
        </w:rPr>
        <w:t xml:space="preserve"> (4.3%) where treatment was started later.</w:t>
      </w:r>
      <w:r w:rsidR="005012E3" w:rsidRPr="00517BEF">
        <w:rPr>
          <w:rStyle w:val="EndnoteReference"/>
          <w:rFonts w:cstheme="minorHAnsi"/>
        </w:rPr>
        <w:endnoteReference w:id="5"/>
      </w:r>
      <w:r w:rsidR="00347C81" w:rsidRPr="00517BEF">
        <w:rPr>
          <w:rFonts w:cstheme="minorHAnsi"/>
        </w:rPr>
        <w:t xml:space="preserve">  Likewise in South Korea analysis of data showed that later presentation was associated with poorer outcomes</w:t>
      </w:r>
      <w:r w:rsidR="007B2A11" w:rsidRPr="00517BEF">
        <w:rPr>
          <w:rFonts w:cstheme="minorHAnsi"/>
        </w:rPr>
        <w:t>,</w:t>
      </w:r>
      <w:r w:rsidR="00576275" w:rsidRPr="00517BEF">
        <w:rPr>
          <w:rStyle w:val="EndnoteReference"/>
          <w:rFonts w:cstheme="minorHAnsi"/>
        </w:rPr>
        <w:endnoteReference w:id="6"/>
      </w:r>
      <w:r w:rsidR="00347C81" w:rsidRPr="00517BEF">
        <w:rPr>
          <w:rFonts w:cstheme="minorHAnsi"/>
        </w:rPr>
        <w:t xml:space="preserve"> </w:t>
      </w:r>
      <w:r w:rsidR="00D76CB9" w:rsidRPr="00517BEF">
        <w:rPr>
          <w:rFonts w:cstheme="minorHAnsi"/>
        </w:rPr>
        <w:t xml:space="preserve">and countries such as Singapore which had a policy of early admission to hospital had a very low fatality rate. </w:t>
      </w:r>
      <w:r w:rsidR="00576275" w:rsidRPr="00517BEF">
        <w:rPr>
          <w:rStyle w:val="EndnoteReference"/>
          <w:rFonts w:cstheme="minorHAnsi"/>
        </w:rPr>
        <w:endnoteReference w:id="7"/>
      </w:r>
    </w:p>
    <w:p w14:paraId="020E1603" w14:textId="54DE2DBF" w:rsidR="00347C81" w:rsidRPr="00517BEF" w:rsidRDefault="00347C81" w:rsidP="00517BEF">
      <w:pPr>
        <w:spacing w:line="276" w:lineRule="auto"/>
        <w:rPr>
          <w:rFonts w:cstheme="minorHAnsi"/>
        </w:rPr>
      </w:pPr>
      <w:r w:rsidRPr="00517BEF">
        <w:rPr>
          <w:rFonts w:cstheme="minorHAnsi"/>
        </w:rPr>
        <w:t>Most of the lung injury in COVID-19 is due to inflammation</w:t>
      </w:r>
      <w:r w:rsidR="00763C42" w:rsidRPr="00517BEF">
        <w:rPr>
          <w:rFonts w:cstheme="minorHAnsi"/>
        </w:rPr>
        <w:t>.</w:t>
      </w:r>
      <w:r w:rsidR="00576275" w:rsidRPr="00517BEF">
        <w:rPr>
          <w:rStyle w:val="EndnoteReference"/>
          <w:rFonts w:cstheme="minorHAnsi"/>
        </w:rPr>
        <w:endnoteReference w:id="8"/>
      </w:r>
      <w:r w:rsidR="00763C42" w:rsidRPr="00517BEF">
        <w:rPr>
          <w:rFonts w:cstheme="minorHAnsi"/>
        </w:rPr>
        <w:t xml:space="preserve"> Hypoxia itself is pro-inflammatory so it is likely that early oxygen therapy should reduce inflammation. In addition</w:t>
      </w:r>
      <w:r w:rsidR="00702644" w:rsidRPr="00517BEF">
        <w:rPr>
          <w:rFonts w:cstheme="minorHAnsi"/>
        </w:rPr>
        <w:t>,</w:t>
      </w:r>
      <w:r w:rsidR="00763C42" w:rsidRPr="00517BEF">
        <w:rPr>
          <w:rFonts w:cstheme="minorHAnsi"/>
        </w:rPr>
        <w:t xml:space="preserve"> in severely ill patients</w:t>
      </w:r>
      <w:r w:rsidR="00702644" w:rsidRPr="00517BEF">
        <w:rPr>
          <w:rFonts w:cstheme="minorHAnsi"/>
        </w:rPr>
        <w:t>,</w:t>
      </w:r>
      <w:r w:rsidR="00763C42" w:rsidRPr="00517BEF">
        <w:rPr>
          <w:rFonts w:cstheme="minorHAnsi"/>
        </w:rPr>
        <w:t xml:space="preserve"> the use of steroids</w:t>
      </w:r>
      <w:r w:rsidR="00576275" w:rsidRPr="00517BEF">
        <w:rPr>
          <w:rStyle w:val="EndnoteReference"/>
          <w:rFonts w:cstheme="minorHAnsi"/>
        </w:rPr>
        <w:endnoteReference w:id="9"/>
      </w:r>
      <w:r w:rsidR="00576275" w:rsidRPr="00517BEF">
        <w:rPr>
          <w:rFonts w:cstheme="minorHAnsi"/>
          <w:vertAlign w:val="superscript"/>
        </w:rPr>
        <w:t>,</w:t>
      </w:r>
      <w:r w:rsidR="00576275" w:rsidRPr="00517BEF">
        <w:rPr>
          <w:rStyle w:val="EndnoteReference"/>
          <w:rFonts w:cstheme="minorHAnsi"/>
        </w:rPr>
        <w:endnoteReference w:id="10"/>
      </w:r>
      <w:r w:rsidR="00763C42" w:rsidRPr="00517BEF">
        <w:rPr>
          <w:rFonts w:cstheme="minorHAnsi"/>
        </w:rPr>
        <w:t xml:space="preserve"> </w:t>
      </w:r>
      <w:r w:rsidR="00D76CB9" w:rsidRPr="00517BEF">
        <w:rPr>
          <w:rFonts w:cstheme="minorHAnsi"/>
        </w:rPr>
        <w:t>has been shown to reduce the death rate</w:t>
      </w:r>
      <w:r w:rsidR="008E30A2">
        <w:rPr>
          <w:rFonts w:cstheme="minorHAnsi"/>
        </w:rPr>
        <w:t>. I</w:t>
      </w:r>
      <w:r w:rsidR="0095703D" w:rsidRPr="00517BEF">
        <w:rPr>
          <w:rFonts w:cstheme="minorHAnsi"/>
        </w:rPr>
        <w:t xml:space="preserve">n </w:t>
      </w:r>
      <w:proofErr w:type="gramStart"/>
      <w:r w:rsidR="0095703D" w:rsidRPr="00517BEF">
        <w:rPr>
          <w:rFonts w:cstheme="minorHAnsi"/>
        </w:rPr>
        <w:t>addition</w:t>
      </w:r>
      <w:proofErr w:type="gramEnd"/>
      <w:r w:rsidR="0095703D" w:rsidRPr="00517BEF">
        <w:rPr>
          <w:rFonts w:cstheme="minorHAnsi"/>
        </w:rPr>
        <w:t xml:space="preserve"> </w:t>
      </w:r>
      <w:r w:rsidR="009304B0" w:rsidRPr="00517BEF">
        <w:rPr>
          <w:rFonts w:cstheme="minorHAnsi"/>
        </w:rPr>
        <w:t>early</w:t>
      </w:r>
      <w:r w:rsidR="00702644" w:rsidRPr="00517BEF">
        <w:rPr>
          <w:rFonts w:cstheme="minorHAnsi"/>
        </w:rPr>
        <w:t>,</w:t>
      </w:r>
      <w:r w:rsidR="009304B0" w:rsidRPr="00517BEF">
        <w:rPr>
          <w:rFonts w:cstheme="minorHAnsi"/>
        </w:rPr>
        <w:t xml:space="preserve"> </w:t>
      </w:r>
      <w:r w:rsidR="0095703D" w:rsidRPr="00517BEF">
        <w:rPr>
          <w:rFonts w:cstheme="minorHAnsi"/>
        </w:rPr>
        <w:t>general supportive therapy</w:t>
      </w:r>
      <w:r w:rsidR="009304B0" w:rsidRPr="00517BEF">
        <w:rPr>
          <w:rFonts w:cstheme="minorHAnsi"/>
        </w:rPr>
        <w:t xml:space="preserve"> such as early appropriate rehydration helps prevent acute kidney injury.</w:t>
      </w:r>
      <w:r w:rsidR="00576275" w:rsidRPr="00517BEF">
        <w:rPr>
          <w:rStyle w:val="EndnoteReference"/>
          <w:rFonts w:cstheme="minorHAnsi"/>
        </w:rPr>
        <w:endnoteReference w:id="11"/>
      </w:r>
      <w:r w:rsidR="009304B0" w:rsidRPr="00517BEF">
        <w:rPr>
          <w:rFonts w:cstheme="minorHAnsi"/>
        </w:rPr>
        <w:t xml:space="preserve"> </w:t>
      </w:r>
      <w:r w:rsidR="007B2A11" w:rsidRPr="00517BEF">
        <w:rPr>
          <w:rFonts w:cstheme="minorHAnsi"/>
        </w:rPr>
        <w:t>Early identification of deterioration is important to permit appropriate therapy.</w:t>
      </w:r>
    </w:p>
    <w:p w14:paraId="5F60E702" w14:textId="7E1B101A" w:rsidR="009304B0" w:rsidRPr="00517BEF" w:rsidRDefault="009304B0" w:rsidP="00517BEF">
      <w:pPr>
        <w:spacing w:line="276" w:lineRule="auto"/>
        <w:rPr>
          <w:rFonts w:cstheme="minorHAnsi"/>
        </w:rPr>
      </w:pPr>
      <w:r w:rsidRPr="00517BEF">
        <w:rPr>
          <w:rFonts w:cstheme="minorHAnsi"/>
        </w:rPr>
        <w:lastRenderedPageBreak/>
        <w:t>The elderly and those with unde</w:t>
      </w:r>
      <w:r w:rsidR="00576275" w:rsidRPr="00517BEF">
        <w:rPr>
          <w:rFonts w:cstheme="minorHAnsi"/>
        </w:rPr>
        <w:t>r</w:t>
      </w:r>
      <w:r w:rsidRPr="00517BEF">
        <w:rPr>
          <w:rFonts w:cstheme="minorHAnsi"/>
        </w:rPr>
        <w:t xml:space="preserve">lying medical conditions are at particular risk of deterioration. </w:t>
      </w:r>
      <w:r w:rsidR="00576275" w:rsidRPr="00517BEF">
        <w:rPr>
          <w:rStyle w:val="EndnoteReference"/>
          <w:rFonts w:cstheme="minorHAnsi"/>
        </w:rPr>
        <w:endnoteReference w:id="12"/>
      </w:r>
      <w:r w:rsidR="00576275" w:rsidRPr="00517BEF">
        <w:rPr>
          <w:rFonts w:cstheme="minorHAnsi"/>
        </w:rPr>
        <w:t xml:space="preserve"> </w:t>
      </w:r>
      <w:r w:rsidRPr="00517BEF">
        <w:rPr>
          <w:rFonts w:cstheme="minorHAnsi"/>
        </w:rPr>
        <w:t>Other groups (NHS staff, BAME, and obese patients) are known to particularly delay presentation</w:t>
      </w:r>
      <w:r w:rsidR="006A7267" w:rsidRPr="00517BEF">
        <w:rPr>
          <w:rFonts w:cstheme="minorHAnsi"/>
        </w:rPr>
        <w:t>.</w:t>
      </w:r>
      <w:r w:rsidR="006A7267" w:rsidRPr="00517BEF">
        <w:rPr>
          <w:rStyle w:val="EndnoteReference"/>
          <w:rFonts w:cstheme="minorHAnsi"/>
        </w:rPr>
        <w:endnoteReference w:id="13"/>
      </w:r>
    </w:p>
    <w:p w14:paraId="50083933" w14:textId="330D0C2C" w:rsidR="00702644" w:rsidRPr="00517BEF" w:rsidRDefault="00B77B14" w:rsidP="00517BEF">
      <w:pPr>
        <w:spacing w:line="276" w:lineRule="auto"/>
        <w:rPr>
          <w:rFonts w:cstheme="minorHAnsi"/>
        </w:rPr>
      </w:pPr>
      <w:r w:rsidRPr="00517BEF">
        <w:rPr>
          <w:rFonts w:cstheme="minorHAnsi"/>
        </w:rPr>
        <w:t>High death rates in those admitted to hospital in the UK has raised concerns that in some cases admission to hospital may be happening too late for treatment to be effective, and have led to calls for more active monitoring</w:t>
      </w:r>
      <w:r w:rsidR="006A7267" w:rsidRPr="00517BEF">
        <w:rPr>
          <w:rFonts w:cstheme="minorHAnsi"/>
        </w:rPr>
        <w:t xml:space="preserve"> </w:t>
      </w:r>
      <w:r w:rsidRPr="00517BEF">
        <w:rPr>
          <w:rFonts w:cstheme="minorHAnsi"/>
        </w:rPr>
        <w:t>to detect early deterioration in these at risk groups and encourage them to attend.</w:t>
      </w:r>
      <w:r w:rsidR="006A7267" w:rsidRPr="00517BEF">
        <w:rPr>
          <w:rStyle w:val="EndnoteReference"/>
          <w:rFonts w:cstheme="minorHAnsi"/>
        </w:rPr>
        <w:endnoteReference w:id="14"/>
      </w:r>
      <w:r w:rsidR="006A7267" w:rsidRPr="00517BEF">
        <w:rPr>
          <w:rFonts w:cstheme="minorHAnsi"/>
        </w:rPr>
        <w:t xml:space="preserve"> Analysis of NHS England data suggest that early treatment could lead to an absolute reduction the death rate of between 3 and 5%.</w:t>
      </w:r>
    </w:p>
    <w:p w14:paraId="1698C163" w14:textId="6EE904BE" w:rsidR="00A9795C" w:rsidRDefault="00A9795C" w:rsidP="00517BEF">
      <w:pPr>
        <w:spacing w:line="276" w:lineRule="auto"/>
        <w:rPr>
          <w:rFonts w:cstheme="minorHAnsi"/>
        </w:rPr>
      </w:pPr>
      <w:r w:rsidRPr="00517BEF">
        <w:rPr>
          <w:rFonts w:cstheme="minorHAnsi"/>
        </w:rPr>
        <w:t xml:space="preserve">Recently research carried out by Inada-Kim et al., which is yet to be peer reviewed, but published in </w:t>
      </w:r>
      <w:proofErr w:type="spellStart"/>
      <w:r w:rsidRPr="00517BEF">
        <w:rPr>
          <w:rFonts w:cstheme="minorHAnsi"/>
        </w:rPr>
        <w:t>medRxiv</w:t>
      </w:r>
      <w:proofErr w:type="spellEnd"/>
      <w:r w:rsidRPr="00517BEF">
        <w:rPr>
          <w:rFonts w:cstheme="minorHAnsi"/>
        </w:rPr>
        <w:t xml:space="preserve"> is an analysis of how oxygen saturation and measurements of other vital signs correlate to patient outcomes in COVID-19 patients conveyed by ambulance to hospital by the South Central Ambulance Service in England.  The aim was to investigate if clinical deterioration can be predicted with simple community physiological monitoring. They demonstrated that even relatively small reductions of oxygen saturation (95% and below) were associated with significant increases in mortality.</w:t>
      </w:r>
      <w:r w:rsidRPr="00517BEF">
        <w:rPr>
          <w:rStyle w:val="EndnoteReference"/>
          <w:rFonts w:cstheme="minorHAnsi"/>
        </w:rPr>
        <w:endnoteReference w:id="15"/>
      </w:r>
    </w:p>
    <w:p w14:paraId="7C67DDF0" w14:textId="30CFF519" w:rsidR="00C63416" w:rsidRPr="00517BEF" w:rsidRDefault="00C63416" w:rsidP="00517BEF">
      <w:pPr>
        <w:spacing w:line="276" w:lineRule="auto"/>
        <w:rPr>
          <w:rFonts w:cstheme="minorHAnsi"/>
        </w:rPr>
      </w:pPr>
      <w:r>
        <w:rPr>
          <w:rFonts w:cstheme="minorHAnsi"/>
        </w:rPr>
        <w:t xml:space="preserve">However, an unpublished study in Northern Ireland set in </w:t>
      </w:r>
      <w:proofErr w:type="spellStart"/>
      <w:r>
        <w:rPr>
          <w:rFonts w:cstheme="minorHAnsi"/>
        </w:rPr>
        <w:t>carehomes</w:t>
      </w:r>
      <w:proofErr w:type="spellEnd"/>
      <w:r>
        <w:rPr>
          <w:rFonts w:cstheme="minorHAnsi"/>
        </w:rPr>
        <w:t xml:space="preserve"> showed that in what could be assumed to be a debilitated population a reading of 95% was relatively common occurring in 13/69 patients over a </w:t>
      </w:r>
      <w:proofErr w:type="gramStart"/>
      <w:r>
        <w:rPr>
          <w:rFonts w:cstheme="minorHAnsi"/>
        </w:rPr>
        <w:t>10 day</w:t>
      </w:r>
      <w:proofErr w:type="gramEnd"/>
      <w:r>
        <w:rPr>
          <w:rFonts w:cstheme="minorHAnsi"/>
        </w:rPr>
        <w:t xml:space="preserve"> period. </w:t>
      </w:r>
      <w:r w:rsidR="00067BED">
        <w:rPr>
          <w:rFonts w:cstheme="minorHAnsi"/>
        </w:rPr>
        <w:t xml:space="preserve">This group as others </w:t>
      </w:r>
      <w:proofErr w:type="gramStart"/>
      <w:r w:rsidR="00067BED">
        <w:rPr>
          <w:rFonts w:cstheme="minorHAnsi"/>
        </w:rPr>
        <w:t>( for</w:t>
      </w:r>
      <w:proofErr w:type="gramEnd"/>
      <w:r w:rsidR="00067BED">
        <w:rPr>
          <w:rFonts w:cstheme="minorHAnsi"/>
        </w:rPr>
        <w:t xml:space="preserve"> example with chronic lung disease) may requires a different triggering level from most patients.</w:t>
      </w:r>
      <w:r w:rsidR="00067BED">
        <w:rPr>
          <w:rStyle w:val="EndnoteReference"/>
          <w:rFonts w:cstheme="minorHAnsi"/>
        </w:rPr>
        <w:endnoteReference w:id="16"/>
      </w:r>
    </w:p>
    <w:p w14:paraId="45EBC42B" w14:textId="6B9BF0B0" w:rsidR="00913864" w:rsidRPr="00517BEF" w:rsidRDefault="00913864" w:rsidP="00517BEF">
      <w:pPr>
        <w:spacing w:line="276" w:lineRule="auto"/>
        <w:rPr>
          <w:rFonts w:cstheme="minorHAnsi"/>
        </w:rPr>
      </w:pPr>
      <w:r w:rsidRPr="00517BEF">
        <w:rPr>
          <w:rFonts w:cstheme="minorHAnsi"/>
        </w:rPr>
        <w:t xml:space="preserve">Detecting deterioration can be challenging. Many patients present with pronounced arterial </w:t>
      </w:r>
      <w:proofErr w:type="spellStart"/>
      <w:r w:rsidRPr="00517BEF">
        <w:rPr>
          <w:rFonts w:cstheme="minorHAnsi"/>
        </w:rPr>
        <w:t>hypooxaemia</w:t>
      </w:r>
      <w:proofErr w:type="spellEnd"/>
      <w:r w:rsidRPr="00517BEF">
        <w:rPr>
          <w:rFonts w:cstheme="minorHAnsi"/>
        </w:rPr>
        <w:t xml:space="preserve"> yet without proportional signs of respiratory distress or sense of breathlessness. Dyspnoea was reported by only 18.7% of hospitalised patients in one reported series.</w:t>
      </w:r>
      <w:r w:rsidRPr="00517BEF">
        <w:rPr>
          <w:rStyle w:val="EndnoteReference"/>
          <w:rFonts w:cstheme="minorHAnsi"/>
        </w:rPr>
        <w:endnoteReference w:id="17"/>
      </w:r>
      <w:r w:rsidR="001F0AD3" w:rsidRPr="00517BEF">
        <w:rPr>
          <w:rFonts w:cstheme="minorHAnsi"/>
        </w:rPr>
        <w:t xml:space="preserve"> Additionally, in some patients with very low CO2 due to hyperventilation, there is a shift to the left of the oxygen dissociation curve and normal oxygen saturation (SaO2) can be maintained in the presence of very low arterial oxygen pressure (PaO2). It is important therefore to consider both symptoms of breathlessness and SaO2 when detecting deterioration in COVID-19.</w:t>
      </w:r>
      <w:r w:rsidR="001F0AD3" w:rsidRPr="00517BEF">
        <w:rPr>
          <w:rStyle w:val="EndnoteReference"/>
          <w:rFonts w:cstheme="minorHAnsi"/>
        </w:rPr>
        <w:endnoteReference w:id="18"/>
      </w:r>
    </w:p>
    <w:p w14:paraId="048A98B2" w14:textId="558514E6" w:rsidR="009304B0" w:rsidRPr="00517BEF" w:rsidRDefault="00517BEF" w:rsidP="00517BEF">
      <w:pPr>
        <w:autoSpaceDE w:val="0"/>
        <w:autoSpaceDN w:val="0"/>
        <w:adjustRightInd w:val="0"/>
        <w:spacing w:after="0" w:line="276" w:lineRule="auto"/>
        <w:rPr>
          <w:rFonts w:cstheme="minorHAnsi"/>
        </w:rPr>
      </w:pPr>
      <w:r w:rsidRPr="00517BEF">
        <w:rPr>
          <w:rFonts w:cstheme="minorHAnsi"/>
        </w:rPr>
        <w:t>A recent Delphi exercise based in UK primary care,</w:t>
      </w:r>
      <w:r w:rsidR="0062633D">
        <w:rPr>
          <w:rStyle w:val="EndnoteReference"/>
          <w:rFonts w:cstheme="minorHAnsi"/>
        </w:rPr>
        <w:endnoteReference w:id="19"/>
      </w:r>
      <w:r w:rsidRPr="00517BEF">
        <w:rPr>
          <w:rFonts w:cstheme="minorHAnsi"/>
        </w:rPr>
        <w:t xml:space="preserve"> involving 72 clinicians, set out to develop an early warning score for deterioration in COVID-19. The authors suggested the following to be valuable in predicting deterioration : pulse, shortness of breath or respiratory rate, trajectory of breathlessness, pulse oximeter reading (with brief exercise test if appropriate) or symptoms suggestive of hypoxia, temperature or fever symptoms, duration of symptoms, muscle aches, new confusion, shielded list and known risk factors for poor outcome. They suggest a scoring system, the sensitivity and specificity of which is yet to be assessed. </w:t>
      </w:r>
    </w:p>
    <w:p w14:paraId="595CEF9B" w14:textId="77777777" w:rsidR="00517BEF" w:rsidRPr="00517BEF" w:rsidRDefault="00517BEF" w:rsidP="00517BEF">
      <w:pPr>
        <w:autoSpaceDE w:val="0"/>
        <w:autoSpaceDN w:val="0"/>
        <w:adjustRightInd w:val="0"/>
        <w:spacing w:after="0" w:line="276" w:lineRule="auto"/>
        <w:rPr>
          <w:rFonts w:cstheme="minorHAnsi"/>
        </w:rPr>
      </w:pPr>
    </w:p>
    <w:bookmarkEnd w:id="4"/>
    <w:p w14:paraId="51167168" w14:textId="0B10E87F" w:rsidR="004E3FCE" w:rsidRPr="00517BEF" w:rsidRDefault="004E3FCE" w:rsidP="00517BEF">
      <w:pPr>
        <w:spacing w:line="276" w:lineRule="auto"/>
        <w:rPr>
          <w:rFonts w:cstheme="minorHAnsi"/>
          <w:b/>
          <w:bCs/>
        </w:rPr>
      </w:pPr>
      <w:r w:rsidRPr="00517BEF">
        <w:rPr>
          <w:rFonts w:cstheme="minorHAnsi"/>
          <w:b/>
          <w:bCs/>
        </w:rPr>
        <w:t>Managing COVID-19 by telemonitoring</w:t>
      </w:r>
    </w:p>
    <w:p w14:paraId="1C6795E0" w14:textId="2AC5587B" w:rsidR="00CA0C7F" w:rsidRPr="00517BEF" w:rsidRDefault="00CA0C7F" w:rsidP="00517BEF">
      <w:pPr>
        <w:spacing w:line="276" w:lineRule="auto"/>
        <w:rPr>
          <w:rFonts w:cstheme="minorHAnsi"/>
        </w:rPr>
      </w:pPr>
      <w:bookmarkStart w:id="5" w:name="_Hlk40340365"/>
      <w:r w:rsidRPr="00517BEF">
        <w:rPr>
          <w:rFonts w:cstheme="minorHAnsi"/>
        </w:rPr>
        <w:t xml:space="preserve">Proactive telemonitoring </w:t>
      </w:r>
      <w:r w:rsidR="00B01E55" w:rsidRPr="00517BEF">
        <w:rPr>
          <w:rFonts w:cstheme="minorHAnsi"/>
        </w:rPr>
        <w:t>h</w:t>
      </w:r>
      <w:r w:rsidRPr="00517BEF">
        <w:rPr>
          <w:rFonts w:cstheme="minorHAnsi"/>
        </w:rPr>
        <w:t>as the potential to identify deterioration</w:t>
      </w:r>
      <w:r w:rsidR="00C062FC" w:rsidRPr="00517BEF">
        <w:rPr>
          <w:rFonts w:cstheme="minorHAnsi"/>
        </w:rPr>
        <w:t xml:space="preserve"> </w:t>
      </w:r>
      <w:r w:rsidR="00ED5BDA" w:rsidRPr="00517BEF">
        <w:rPr>
          <w:rFonts w:cstheme="minorHAnsi"/>
        </w:rPr>
        <w:t xml:space="preserve">early, </w:t>
      </w:r>
      <w:r w:rsidR="007338AB" w:rsidRPr="00517BEF">
        <w:rPr>
          <w:rFonts w:cstheme="minorHAnsi"/>
        </w:rPr>
        <w:t>and hence improve the patient</w:t>
      </w:r>
      <w:r w:rsidR="00E43AC0" w:rsidRPr="00517BEF">
        <w:rPr>
          <w:rFonts w:cstheme="minorHAnsi"/>
        </w:rPr>
        <w:t>’</w:t>
      </w:r>
      <w:r w:rsidR="007338AB" w:rsidRPr="00517BEF">
        <w:rPr>
          <w:rFonts w:cstheme="minorHAnsi"/>
        </w:rPr>
        <w:t>s eventual outcome</w:t>
      </w:r>
      <w:r w:rsidRPr="00517BEF">
        <w:rPr>
          <w:rFonts w:cstheme="minorHAnsi"/>
        </w:rPr>
        <w:t xml:space="preserve">. </w:t>
      </w:r>
      <w:r w:rsidR="007338AB" w:rsidRPr="00517BEF">
        <w:rPr>
          <w:rFonts w:cstheme="minorHAnsi"/>
        </w:rPr>
        <w:t>Telemonitoring</w:t>
      </w:r>
      <w:r w:rsidRPr="00517BEF">
        <w:rPr>
          <w:rFonts w:cstheme="minorHAnsi"/>
        </w:rPr>
        <w:t xml:space="preserve"> systems can have built</w:t>
      </w:r>
      <w:r w:rsidR="007338AB" w:rsidRPr="00517BEF">
        <w:rPr>
          <w:rFonts w:cstheme="minorHAnsi"/>
        </w:rPr>
        <w:t>-</w:t>
      </w:r>
      <w:r w:rsidRPr="00517BEF">
        <w:rPr>
          <w:rFonts w:cstheme="minorHAnsi"/>
        </w:rPr>
        <w:t xml:space="preserve">in triggers which offer automatic advice to </w:t>
      </w:r>
      <w:r w:rsidR="00B77B14" w:rsidRPr="00517BEF">
        <w:rPr>
          <w:rFonts w:cstheme="minorHAnsi"/>
        </w:rPr>
        <w:t xml:space="preserve">encourage people to </w:t>
      </w:r>
      <w:r w:rsidRPr="00517BEF">
        <w:rPr>
          <w:rFonts w:cstheme="minorHAnsi"/>
        </w:rPr>
        <w:t xml:space="preserve">seek help by phone or </w:t>
      </w:r>
      <w:proofErr w:type="spellStart"/>
      <w:r w:rsidRPr="00517BEF">
        <w:rPr>
          <w:rFonts w:cstheme="minorHAnsi"/>
        </w:rPr>
        <w:t>videolink</w:t>
      </w:r>
      <w:proofErr w:type="spellEnd"/>
      <w:r w:rsidRPr="00517BEF">
        <w:rPr>
          <w:rFonts w:cstheme="minorHAnsi"/>
        </w:rPr>
        <w:t xml:space="preserve"> if responses indicate significant deterioration.</w:t>
      </w:r>
    </w:p>
    <w:p w14:paraId="6EC78653" w14:textId="5DA918BE" w:rsidR="00026336" w:rsidRPr="00517BEF" w:rsidRDefault="00B77B14" w:rsidP="00517BEF">
      <w:pPr>
        <w:autoSpaceDE w:val="0"/>
        <w:autoSpaceDN w:val="0"/>
        <w:adjustRightInd w:val="0"/>
        <w:spacing w:after="0" w:line="276" w:lineRule="auto"/>
        <w:rPr>
          <w:rFonts w:cstheme="minorHAnsi"/>
        </w:rPr>
      </w:pPr>
      <w:r w:rsidRPr="00517BEF">
        <w:rPr>
          <w:rFonts w:cstheme="minorHAnsi"/>
        </w:rPr>
        <w:t xml:space="preserve">Telemonitoring has been adopted in several locations world-wide. </w:t>
      </w:r>
      <w:proofErr w:type="gramStart"/>
      <w:r w:rsidRPr="00517BEF">
        <w:rPr>
          <w:rFonts w:cstheme="minorHAnsi"/>
        </w:rPr>
        <w:t>As yet</w:t>
      </w:r>
      <w:proofErr w:type="gramEnd"/>
      <w:r w:rsidRPr="00517BEF">
        <w:rPr>
          <w:rFonts w:cstheme="minorHAnsi"/>
        </w:rPr>
        <w:t xml:space="preserve"> there are few published papers and no randomised controlled trials (RCT). Two RCTs are currently planned </w:t>
      </w:r>
      <w:bookmarkStart w:id="6" w:name="_Hlk57275527"/>
      <w:r w:rsidRPr="00517BEF">
        <w:rPr>
          <w:rFonts w:cstheme="minorHAnsi"/>
        </w:rPr>
        <w:t>in the USA</w:t>
      </w:r>
      <w:r w:rsidR="00576275" w:rsidRPr="00517BEF">
        <w:rPr>
          <w:rStyle w:val="EndnoteReference"/>
          <w:rFonts w:cstheme="minorHAnsi"/>
        </w:rPr>
        <w:endnoteReference w:id="20"/>
      </w:r>
      <w:r w:rsidRPr="00517BEF">
        <w:rPr>
          <w:rFonts w:cstheme="minorHAnsi"/>
        </w:rPr>
        <w:t xml:space="preserve"> and </w:t>
      </w:r>
      <w:r w:rsidR="007B2A11" w:rsidRPr="00517BEF">
        <w:rPr>
          <w:rFonts w:cstheme="minorHAnsi"/>
        </w:rPr>
        <w:t>another</w:t>
      </w:r>
      <w:r w:rsidRPr="00517BEF">
        <w:rPr>
          <w:rFonts w:cstheme="minorHAnsi"/>
        </w:rPr>
        <w:t xml:space="preserve"> in Norway.</w:t>
      </w:r>
      <w:r w:rsidR="00576275" w:rsidRPr="00517BEF">
        <w:rPr>
          <w:rStyle w:val="EndnoteReference"/>
          <w:rFonts w:cstheme="minorHAnsi"/>
        </w:rPr>
        <w:endnoteReference w:id="21"/>
      </w:r>
      <w:r w:rsidRPr="00517BEF">
        <w:rPr>
          <w:rFonts w:cstheme="minorHAnsi"/>
        </w:rPr>
        <w:t xml:space="preserve"> </w:t>
      </w:r>
      <w:bookmarkEnd w:id="6"/>
      <w:r w:rsidRPr="00517BEF">
        <w:rPr>
          <w:rFonts w:cstheme="minorHAnsi"/>
        </w:rPr>
        <w:t xml:space="preserve">The first aims to report in </w:t>
      </w:r>
      <w:r w:rsidR="007B2A11" w:rsidRPr="00517BEF">
        <w:rPr>
          <w:rFonts w:cstheme="minorHAnsi"/>
        </w:rPr>
        <w:t>April</w:t>
      </w:r>
      <w:r w:rsidRPr="00517BEF">
        <w:rPr>
          <w:rFonts w:cstheme="minorHAnsi"/>
        </w:rPr>
        <w:t xml:space="preserve"> and the second in </w:t>
      </w:r>
      <w:r w:rsidR="00816C36" w:rsidRPr="00517BEF">
        <w:rPr>
          <w:rFonts w:cstheme="minorHAnsi"/>
        </w:rPr>
        <w:t>December 2020</w:t>
      </w:r>
      <w:r w:rsidR="007B2A11" w:rsidRPr="00517BEF">
        <w:rPr>
          <w:rFonts w:cstheme="minorHAnsi"/>
        </w:rPr>
        <w:t>,</w:t>
      </w:r>
      <w:r w:rsidR="00816C36" w:rsidRPr="00517BEF">
        <w:rPr>
          <w:rFonts w:cstheme="minorHAnsi"/>
        </w:rPr>
        <w:t xml:space="preserve"> to</w:t>
      </w:r>
      <w:r w:rsidR="007B2A11" w:rsidRPr="00517BEF">
        <w:rPr>
          <w:rFonts w:cstheme="minorHAnsi"/>
        </w:rPr>
        <w:t>o</w:t>
      </w:r>
      <w:r w:rsidR="00816C36" w:rsidRPr="00517BEF">
        <w:rPr>
          <w:rFonts w:cstheme="minorHAnsi"/>
        </w:rPr>
        <w:t xml:space="preserve"> late to inform implementation in Scotland. </w:t>
      </w:r>
      <w:proofErr w:type="gramStart"/>
      <w:r w:rsidR="00816C36" w:rsidRPr="00517BEF">
        <w:rPr>
          <w:rFonts w:cstheme="minorHAnsi"/>
        </w:rPr>
        <w:t>However</w:t>
      </w:r>
      <w:proofErr w:type="gramEnd"/>
      <w:r w:rsidR="00816C36" w:rsidRPr="00517BEF">
        <w:rPr>
          <w:rFonts w:cstheme="minorHAnsi"/>
        </w:rPr>
        <w:t xml:space="preserve"> two papers have been published one from the Netherlands</w:t>
      </w:r>
      <w:bookmarkStart w:id="7" w:name="_Hlk57275590"/>
      <w:r w:rsidR="00576275" w:rsidRPr="00517BEF">
        <w:rPr>
          <w:rStyle w:val="EndnoteReference"/>
          <w:rFonts w:cstheme="minorHAnsi"/>
        </w:rPr>
        <w:endnoteReference w:id="22"/>
      </w:r>
      <w:r w:rsidR="00816C36" w:rsidRPr="00517BEF">
        <w:rPr>
          <w:rFonts w:cstheme="minorHAnsi"/>
        </w:rPr>
        <w:t xml:space="preserve"> </w:t>
      </w:r>
      <w:bookmarkEnd w:id="7"/>
      <w:r w:rsidR="00816C36" w:rsidRPr="00517BEF">
        <w:rPr>
          <w:rFonts w:cstheme="minorHAnsi"/>
        </w:rPr>
        <w:t xml:space="preserve">and </w:t>
      </w:r>
      <w:r w:rsidR="0000391D" w:rsidRPr="00517BEF">
        <w:rPr>
          <w:rFonts w:cstheme="minorHAnsi"/>
        </w:rPr>
        <w:t>one from Minnesota</w:t>
      </w:r>
      <w:r w:rsidR="00816C36" w:rsidRPr="00517BEF">
        <w:rPr>
          <w:rFonts w:cstheme="minorHAnsi"/>
        </w:rPr>
        <w:t xml:space="preserve"> USA</w:t>
      </w:r>
      <w:bookmarkStart w:id="8" w:name="_Hlk57275599"/>
      <w:r w:rsidR="00576275" w:rsidRPr="00517BEF">
        <w:rPr>
          <w:rStyle w:val="EndnoteReference"/>
          <w:rFonts w:cstheme="minorHAnsi"/>
        </w:rPr>
        <w:endnoteReference w:id="23"/>
      </w:r>
      <w:bookmarkEnd w:id="8"/>
      <w:r w:rsidR="00816C36" w:rsidRPr="00517BEF">
        <w:rPr>
          <w:rFonts w:cstheme="minorHAnsi"/>
        </w:rPr>
        <w:t xml:space="preserve"> which describe the early experience of two monitoring systems. </w:t>
      </w:r>
      <w:r w:rsidR="00350B98" w:rsidRPr="00517BEF">
        <w:rPr>
          <w:rFonts w:cstheme="minorHAnsi"/>
        </w:rPr>
        <w:t xml:space="preserve">In addition there is unpublished work </w:t>
      </w:r>
      <w:proofErr w:type="gramStart"/>
      <w:r w:rsidR="00350B98" w:rsidRPr="00517BEF">
        <w:rPr>
          <w:rFonts w:cstheme="minorHAnsi"/>
        </w:rPr>
        <w:t>from  Kaiser</w:t>
      </w:r>
      <w:proofErr w:type="gramEnd"/>
      <w:r w:rsidR="00350B98" w:rsidRPr="00517BEF">
        <w:rPr>
          <w:rFonts w:cstheme="minorHAnsi"/>
        </w:rPr>
        <w:t xml:space="preserve"> Permanente using a traditional telemonitoring system in Southern California and NHS England which used oximetry with regular telephone calls. </w:t>
      </w:r>
    </w:p>
    <w:p w14:paraId="7CF01668" w14:textId="77777777" w:rsidR="00026336" w:rsidRPr="00517BEF" w:rsidRDefault="00026336" w:rsidP="00517BEF">
      <w:pPr>
        <w:autoSpaceDE w:val="0"/>
        <w:autoSpaceDN w:val="0"/>
        <w:adjustRightInd w:val="0"/>
        <w:spacing w:after="0" w:line="276" w:lineRule="auto"/>
        <w:rPr>
          <w:rFonts w:cstheme="minorHAnsi"/>
        </w:rPr>
      </w:pPr>
    </w:p>
    <w:p w14:paraId="72918A02" w14:textId="2D598E80" w:rsidR="00B77B14" w:rsidRPr="00517BEF" w:rsidRDefault="007B2A11" w:rsidP="00517BEF">
      <w:pPr>
        <w:autoSpaceDE w:val="0"/>
        <w:autoSpaceDN w:val="0"/>
        <w:adjustRightInd w:val="0"/>
        <w:spacing w:after="0" w:line="276" w:lineRule="auto"/>
        <w:rPr>
          <w:rFonts w:cstheme="minorHAnsi"/>
        </w:rPr>
      </w:pPr>
      <w:r w:rsidRPr="00517BEF">
        <w:rPr>
          <w:rFonts w:cstheme="minorHAnsi"/>
          <w:b/>
          <w:bCs/>
        </w:rPr>
        <w:t xml:space="preserve"> (</w:t>
      </w:r>
      <w:proofErr w:type="spellStart"/>
      <w:r w:rsidRPr="00517BEF">
        <w:rPr>
          <w:rFonts w:cstheme="minorHAnsi"/>
          <w:b/>
          <w:bCs/>
        </w:rPr>
        <w:t>Silven</w:t>
      </w:r>
      <w:proofErr w:type="spellEnd"/>
      <w:r w:rsidRPr="00517BEF">
        <w:rPr>
          <w:rFonts w:cstheme="minorHAnsi"/>
          <w:b/>
          <w:bCs/>
        </w:rPr>
        <w:t xml:space="preserve"> et al)</w:t>
      </w:r>
      <w:r w:rsidR="0062633D">
        <w:rPr>
          <w:rFonts w:cstheme="minorHAnsi"/>
          <w:b/>
          <w:bCs/>
          <w:vertAlign w:val="superscript"/>
        </w:rPr>
        <w:t>2</w:t>
      </w:r>
      <w:r w:rsidR="00DA3B6E">
        <w:rPr>
          <w:rFonts w:cstheme="minorHAnsi"/>
          <w:b/>
          <w:bCs/>
          <w:vertAlign w:val="superscript"/>
        </w:rPr>
        <w:t>2</w:t>
      </w:r>
      <w:r w:rsidR="00816C36" w:rsidRPr="00517BEF">
        <w:rPr>
          <w:rFonts w:cstheme="minorHAnsi"/>
        </w:rPr>
        <w:t xml:space="preserve"> </w:t>
      </w:r>
      <w:r w:rsidR="00A9795C" w:rsidRPr="00517BEF">
        <w:rPr>
          <w:rFonts w:cstheme="minorHAnsi"/>
        </w:rPr>
        <w:t xml:space="preserve">a paper from the Netherlands, </w:t>
      </w:r>
      <w:r w:rsidR="00816C36" w:rsidRPr="00517BEF">
        <w:rPr>
          <w:rFonts w:cstheme="minorHAnsi"/>
        </w:rPr>
        <w:t>is largely a description of how patients are enrolled</w:t>
      </w:r>
      <w:r w:rsidR="008E30A2">
        <w:rPr>
          <w:rFonts w:cstheme="minorHAnsi"/>
        </w:rPr>
        <w:t xml:space="preserve"> and</w:t>
      </w:r>
      <w:r w:rsidR="00816C36" w:rsidRPr="00517BEF">
        <w:rPr>
          <w:rFonts w:cstheme="minorHAnsi"/>
        </w:rPr>
        <w:t xml:space="preserve"> use the devices (</w:t>
      </w:r>
      <w:proofErr w:type="spellStart"/>
      <w:r w:rsidR="00816C36" w:rsidRPr="00517BEF">
        <w:rPr>
          <w:rFonts w:cstheme="minorHAnsi"/>
        </w:rPr>
        <w:t>thermometer,BP</w:t>
      </w:r>
      <w:proofErr w:type="spellEnd"/>
      <w:r w:rsidR="00816C36" w:rsidRPr="00517BEF">
        <w:rPr>
          <w:rFonts w:cstheme="minorHAnsi"/>
        </w:rPr>
        <w:t xml:space="preserve"> meter, oximeter), </w:t>
      </w:r>
      <w:r w:rsidR="0000391D" w:rsidRPr="00517BEF">
        <w:rPr>
          <w:rFonts w:cstheme="minorHAnsi"/>
        </w:rPr>
        <w:t xml:space="preserve"> </w:t>
      </w:r>
      <w:r w:rsidRPr="00517BEF">
        <w:rPr>
          <w:rFonts w:cstheme="minorHAnsi"/>
        </w:rPr>
        <w:t xml:space="preserve">the </w:t>
      </w:r>
      <w:r w:rsidR="0000391D" w:rsidRPr="00517BEF">
        <w:rPr>
          <w:rFonts w:cstheme="minorHAnsi"/>
        </w:rPr>
        <w:t xml:space="preserve">arrangement for </w:t>
      </w:r>
      <w:r w:rsidR="00816C36" w:rsidRPr="00517BEF">
        <w:rPr>
          <w:rFonts w:cstheme="minorHAnsi"/>
        </w:rPr>
        <w:t xml:space="preserve">support services, integration with current systems and how patients re discharged and equipment returned. Of 55 patients enrolled in the system no adverse events occurred and 5 of these 50 were subsequently admitted to hospital </w:t>
      </w:r>
      <w:r w:rsidR="00026336" w:rsidRPr="00517BEF">
        <w:rPr>
          <w:rFonts w:cstheme="minorHAnsi"/>
        </w:rPr>
        <w:t xml:space="preserve">due to deterioration. Both patients and health care providers viewed the use of the system positively. The article ends with recommendations for further development of the system including the need for face-to-face recruitment, agreed selection criteria, target </w:t>
      </w:r>
      <w:proofErr w:type="gramStart"/>
      <w:r w:rsidR="00026336" w:rsidRPr="00517BEF">
        <w:rPr>
          <w:rFonts w:cstheme="minorHAnsi"/>
        </w:rPr>
        <w:t>protocols ,</w:t>
      </w:r>
      <w:proofErr w:type="gramEnd"/>
      <w:r w:rsidR="00026336" w:rsidRPr="00517BEF">
        <w:rPr>
          <w:rFonts w:cstheme="minorHAnsi"/>
        </w:rPr>
        <w:t xml:space="preserve"> integration with clinical work-flow, privacy and ethical considerations and the need for evaluation. </w:t>
      </w:r>
    </w:p>
    <w:p w14:paraId="74937366" w14:textId="57BF17AC" w:rsidR="00026336" w:rsidRPr="00517BEF" w:rsidRDefault="00026336" w:rsidP="00517BEF">
      <w:pPr>
        <w:autoSpaceDE w:val="0"/>
        <w:autoSpaceDN w:val="0"/>
        <w:adjustRightInd w:val="0"/>
        <w:spacing w:after="0" w:line="276" w:lineRule="auto"/>
        <w:rPr>
          <w:rFonts w:cstheme="minorHAnsi"/>
        </w:rPr>
      </w:pPr>
    </w:p>
    <w:p w14:paraId="58FC18FE" w14:textId="600DD88E" w:rsidR="00026336" w:rsidRPr="00517BEF" w:rsidRDefault="007B2A11" w:rsidP="00517BEF">
      <w:pPr>
        <w:autoSpaceDE w:val="0"/>
        <w:autoSpaceDN w:val="0"/>
        <w:adjustRightInd w:val="0"/>
        <w:spacing w:after="0" w:line="276" w:lineRule="auto"/>
        <w:rPr>
          <w:rFonts w:cstheme="minorHAnsi"/>
        </w:rPr>
      </w:pPr>
      <w:r w:rsidRPr="00517BEF">
        <w:rPr>
          <w:rFonts w:cstheme="minorHAnsi"/>
          <w:b/>
          <w:bCs/>
        </w:rPr>
        <w:t xml:space="preserve"> (</w:t>
      </w:r>
      <w:proofErr w:type="spellStart"/>
      <w:r w:rsidRPr="00517BEF">
        <w:rPr>
          <w:rFonts w:cstheme="minorHAnsi"/>
          <w:b/>
          <w:bCs/>
        </w:rPr>
        <w:t>Annis</w:t>
      </w:r>
      <w:proofErr w:type="spellEnd"/>
      <w:r w:rsidRPr="00517BEF">
        <w:rPr>
          <w:rFonts w:cstheme="minorHAnsi"/>
          <w:b/>
          <w:bCs/>
        </w:rPr>
        <w:t xml:space="preserve"> et al)</w:t>
      </w:r>
      <w:r w:rsidR="0062633D">
        <w:rPr>
          <w:rFonts w:cstheme="minorHAnsi"/>
          <w:b/>
          <w:bCs/>
          <w:vertAlign w:val="superscript"/>
        </w:rPr>
        <w:t>2</w:t>
      </w:r>
      <w:r w:rsidR="00DA3B6E">
        <w:rPr>
          <w:rFonts w:cstheme="minorHAnsi"/>
          <w:b/>
          <w:bCs/>
          <w:vertAlign w:val="superscript"/>
        </w:rPr>
        <w:t>3</w:t>
      </w:r>
      <w:r w:rsidR="0000391D" w:rsidRPr="00517BEF">
        <w:rPr>
          <w:rFonts w:cstheme="minorHAnsi"/>
        </w:rPr>
        <w:t xml:space="preserve"> </w:t>
      </w:r>
      <w:r w:rsidR="00A9795C" w:rsidRPr="00517BEF">
        <w:rPr>
          <w:rFonts w:cstheme="minorHAnsi"/>
        </w:rPr>
        <w:t xml:space="preserve">from Minnesota USA </w:t>
      </w:r>
      <w:r w:rsidR="00026336" w:rsidRPr="00517BEF">
        <w:rPr>
          <w:rFonts w:cstheme="minorHAnsi"/>
        </w:rPr>
        <w:t xml:space="preserve">provides an early evaluation of a similar system. </w:t>
      </w:r>
      <w:r w:rsidR="00666CF9" w:rsidRPr="00517BEF">
        <w:rPr>
          <w:rFonts w:cstheme="minorHAnsi"/>
        </w:rPr>
        <w:t>Implementation</w:t>
      </w:r>
      <w:r w:rsidR="00026336" w:rsidRPr="00517BEF">
        <w:rPr>
          <w:rFonts w:cstheme="minorHAnsi"/>
        </w:rPr>
        <w:t xml:space="preserve"> was aided by a history of telemonitoring in the area. </w:t>
      </w:r>
      <w:r w:rsidR="00666CF9" w:rsidRPr="00517BEF">
        <w:rPr>
          <w:rFonts w:cstheme="minorHAnsi"/>
        </w:rPr>
        <w:t xml:space="preserve"> Recruitment was </w:t>
      </w:r>
      <w:proofErr w:type="gramStart"/>
      <w:r w:rsidR="00666CF9" w:rsidRPr="00517BEF">
        <w:rPr>
          <w:rFonts w:cstheme="minorHAnsi"/>
        </w:rPr>
        <w:t>on the basis of</w:t>
      </w:r>
      <w:proofErr w:type="gramEnd"/>
      <w:r w:rsidR="00666CF9" w:rsidRPr="00517BEF">
        <w:rPr>
          <w:rFonts w:cstheme="minorHAnsi"/>
        </w:rPr>
        <w:t xml:space="preserve"> suspected COVID. They describe results from 3701 patients enrolled in three version</w:t>
      </w:r>
      <w:r w:rsidR="008E30A2">
        <w:rPr>
          <w:rFonts w:cstheme="minorHAnsi"/>
        </w:rPr>
        <w:t>s</w:t>
      </w:r>
      <w:r w:rsidR="00666CF9" w:rsidRPr="00517BEF">
        <w:rPr>
          <w:rFonts w:cstheme="minorHAnsi"/>
        </w:rPr>
        <w:t xml:space="preserve"> </w:t>
      </w:r>
      <w:r w:rsidR="0000391D" w:rsidRPr="00517BEF">
        <w:rPr>
          <w:rFonts w:cstheme="minorHAnsi"/>
        </w:rPr>
        <w:t>of</w:t>
      </w:r>
      <w:r w:rsidR="00666CF9" w:rsidRPr="00517BEF">
        <w:rPr>
          <w:rFonts w:cstheme="minorHAnsi"/>
        </w:rPr>
        <w:t xml:space="preserve"> the system</w:t>
      </w:r>
      <w:r w:rsidR="0000391D" w:rsidRPr="00517BEF">
        <w:rPr>
          <w:rFonts w:cstheme="minorHAnsi"/>
        </w:rPr>
        <w:t>, the first two being symptom monitoring only</w:t>
      </w:r>
      <w:r w:rsidR="00666CF9" w:rsidRPr="00517BEF">
        <w:rPr>
          <w:rFonts w:cstheme="minorHAnsi"/>
        </w:rPr>
        <w:t xml:space="preserve">. In the third version 657 patients were offered the opportunity to use pulse oximeters </w:t>
      </w:r>
      <w:proofErr w:type="gramStart"/>
      <w:r w:rsidR="00666CF9" w:rsidRPr="00517BEF">
        <w:rPr>
          <w:rFonts w:cstheme="minorHAnsi"/>
        </w:rPr>
        <w:t>( most</w:t>
      </w:r>
      <w:proofErr w:type="gramEnd"/>
      <w:r w:rsidR="00666CF9" w:rsidRPr="00517BEF">
        <w:rPr>
          <w:rFonts w:cstheme="minorHAnsi"/>
        </w:rPr>
        <w:t xml:space="preserve"> similar to the proposed Scottish system) of who</w:t>
      </w:r>
      <w:r w:rsidRPr="00517BEF">
        <w:rPr>
          <w:rFonts w:cstheme="minorHAnsi"/>
        </w:rPr>
        <w:t>m</w:t>
      </w:r>
      <w:r w:rsidR="00666CF9" w:rsidRPr="00517BEF">
        <w:rPr>
          <w:rFonts w:cstheme="minorHAnsi"/>
        </w:rPr>
        <w:t xml:space="preserve"> 347 (54%) activated the system and 345 continued to use it. Over 10 days these 347 produced 524 alerts requiring first responder action. Reassuringly workload fr</w:t>
      </w:r>
      <w:r w:rsidRPr="00517BEF">
        <w:rPr>
          <w:rFonts w:cstheme="minorHAnsi"/>
        </w:rPr>
        <w:t>o</w:t>
      </w:r>
      <w:r w:rsidR="00666CF9" w:rsidRPr="00517BEF">
        <w:rPr>
          <w:rFonts w:cstheme="minorHAnsi"/>
        </w:rPr>
        <w:t>m the system was low. Satisfaction was high.  Figures on hos</w:t>
      </w:r>
      <w:r w:rsidRPr="00517BEF">
        <w:rPr>
          <w:rFonts w:cstheme="minorHAnsi"/>
        </w:rPr>
        <w:t>p</w:t>
      </w:r>
      <w:r w:rsidR="00666CF9" w:rsidRPr="00517BEF">
        <w:rPr>
          <w:rFonts w:cstheme="minorHAnsi"/>
        </w:rPr>
        <w:t>italisation were given for the total sample of 2255</w:t>
      </w:r>
      <w:r w:rsidRPr="00517BEF">
        <w:rPr>
          <w:rFonts w:cstheme="minorHAnsi"/>
        </w:rPr>
        <w:t>/3701</w:t>
      </w:r>
      <w:r w:rsidR="00666CF9" w:rsidRPr="00517BEF">
        <w:rPr>
          <w:rFonts w:cstheme="minorHAnsi"/>
        </w:rPr>
        <w:t xml:space="preserve"> patients who </w:t>
      </w:r>
      <w:r w:rsidRPr="00517BEF">
        <w:rPr>
          <w:rFonts w:cstheme="minorHAnsi"/>
        </w:rPr>
        <w:t>returned data</w:t>
      </w:r>
      <w:r w:rsidR="00666CF9" w:rsidRPr="00517BEF">
        <w:rPr>
          <w:rFonts w:cstheme="minorHAnsi"/>
        </w:rPr>
        <w:t xml:space="preserve"> in all three ver</w:t>
      </w:r>
      <w:r w:rsidRPr="00517BEF">
        <w:rPr>
          <w:rFonts w:cstheme="minorHAnsi"/>
        </w:rPr>
        <w:t>s</w:t>
      </w:r>
      <w:r w:rsidR="00666CF9" w:rsidRPr="00517BEF">
        <w:rPr>
          <w:rFonts w:cstheme="minorHAnsi"/>
        </w:rPr>
        <w:t>ions. Of these</w:t>
      </w:r>
      <w:r w:rsidR="0000391D" w:rsidRPr="00517BEF">
        <w:rPr>
          <w:rFonts w:cstheme="minorHAnsi"/>
        </w:rPr>
        <w:t xml:space="preserve"> 91 has an emergency visit and 13 were admitted to hospital. These figures need to be interpreted with some caution as testing rates were </w:t>
      </w:r>
      <w:proofErr w:type="gramStart"/>
      <w:r w:rsidR="0000391D" w:rsidRPr="00517BEF">
        <w:rPr>
          <w:rFonts w:cstheme="minorHAnsi"/>
        </w:rPr>
        <w:t>low</w:t>
      </w:r>
      <w:proofErr w:type="gramEnd"/>
      <w:r w:rsidR="0000391D" w:rsidRPr="00517BEF">
        <w:rPr>
          <w:rFonts w:cstheme="minorHAnsi"/>
        </w:rPr>
        <w:t xml:space="preserve"> and many patients may not have had COVID. </w:t>
      </w:r>
    </w:p>
    <w:p w14:paraId="13DFAED5" w14:textId="0742CC77" w:rsidR="0000391D" w:rsidRPr="00517BEF" w:rsidRDefault="0000391D" w:rsidP="00517BEF">
      <w:pPr>
        <w:autoSpaceDE w:val="0"/>
        <w:autoSpaceDN w:val="0"/>
        <w:adjustRightInd w:val="0"/>
        <w:spacing w:after="0" w:line="276" w:lineRule="auto"/>
        <w:rPr>
          <w:rFonts w:cstheme="minorHAnsi"/>
        </w:rPr>
      </w:pPr>
    </w:p>
    <w:p w14:paraId="360C5C08" w14:textId="1B01E724" w:rsidR="005B6D13" w:rsidRPr="00517BEF" w:rsidRDefault="00A9795C" w:rsidP="00517BEF">
      <w:pPr>
        <w:autoSpaceDE w:val="0"/>
        <w:autoSpaceDN w:val="0"/>
        <w:adjustRightInd w:val="0"/>
        <w:spacing w:line="276" w:lineRule="auto"/>
        <w:rPr>
          <w:rFonts w:cstheme="minorHAnsi"/>
        </w:rPr>
      </w:pPr>
      <w:r w:rsidRPr="00517BEF">
        <w:rPr>
          <w:rFonts w:cstheme="minorHAnsi"/>
          <w:b/>
          <w:bCs/>
        </w:rPr>
        <w:t>In as yet</w:t>
      </w:r>
      <w:r w:rsidR="00350B98" w:rsidRPr="00517BEF">
        <w:rPr>
          <w:rFonts w:cstheme="minorHAnsi"/>
          <w:b/>
          <w:bCs/>
        </w:rPr>
        <w:t xml:space="preserve"> </w:t>
      </w:r>
      <w:r w:rsidR="005B6D13" w:rsidRPr="00517BEF">
        <w:rPr>
          <w:rFonts w:cstheme="minorHAnsi"/>
          <w:b/>
          <w:bCs/>
        </w:rPr>
        <w:t>unpublished work from England</w:t>
      </w:r>
      <w:r w:rsidR="005B6D13" w:rsidRPr="00517BEF">
        <w:rPr>
          <w:rFonts w:cstheme="minorHAnsi"/>
        </w:rPr>
        <w:t xml:space="preserve"> </w:t>
      </w:r>
      <w:r w:rsidR="007B2A11" w:rsidRPr="00517BEF">
        <w:rPr>
          <w:rFonts w:cstheme="minorHAnsi"/>
        </w:rPr>
        <w:t xml:space="preserve"> </w:t>
      </w:r>
      <w:r w:rsidR="005B6D13" w:rsidRPr="00517BEF">
        <w:rPr>
          <w:rFonts w:cstheme="minorHAnsi"/>
        </w:rPr>
        <w:t>the NHS @home team</w:t>
      </w:r>
      <w:r w:rsidR="00350B98" w:rsidRPr="00517BEF">
        <w:rPr>
          <w:rFonts w:cstheme="minorHAnsi"/>
        </w:rPr>
        <w:t xml:space="preserve"> </w:t>
      </w:r>
      <w:r w:rsidR="005B6D13" w:rsidRPr="00517BEF">
        <w:rPr>
          <w:rFonts w:cstheme="minorHAnsi"/>
        </w:rPr>
        <w:t xml:space="preserve">tested a simple “virtual ward” model (COVID </w:t>
      </w:r>
      <w:proofErr w:type="spellStart"/>
      <w:r w:rsidR="005B6D13" w:rsidRPr="00517BEF">
        <w:rPr>
          <w:rFonts w:cstheme="minorHAnsi"/>
        </w:rPr>
        <w:t>Care@Home</w:t>
      </w:r>
      <w:proofErr w:type="spellEnd"/>
      <w:r w:rsidR="005B6D13" w:rsidRPr="00517BEF">
        <w:rPr>
          <w:rFonts w:cstheme="minorHAnsi"/>
        </w:rPr>
        <w:t>) to support at risk groups by making pulse oximeters available for home testing of oxygen saturations levels and linking the individual</w:t>
      </w:r>
      <w:r w:rsidR="00BE5F3D" w:rsidRPr="00517BEF">
        <w:rPr>
          <w:rFonts w:cstheme="minorHAnsi"/>
        </w:rPr>
        <w:t xml:space="preserve"> by regular telephone call</w:t>
      </w:r>
      <w:r w:rsidR="005B6D13" w:rsidRPr="00517BEF">
        <w:rPr>
          <w:rFonts w:cstheme="minorHAnsi"/>
        </w:rPr>
        <w:t xml:space="preserve"> to a clinical team.</w:t>
      </w:r>
      <w:r w:rsidR="005B6D13" w:rsidRPr="00517BEF">
        <w:rPr>
          <w:rFonts w:cstheme="minorHAnsi"/>
          <w:b/>
          <w:bCs/>
        </w:rPr>
        <w:t xml:space="preserve"> </w:t>
      </w:r>
      <w:r w:rsidR="005B6D13" w:rsidRPr="00517BEF">
        <w:rPr>
          <w:rFonts w:cstheme="minorHAnsi"/>
        </w:rPr>
        <w:t xml:space="preserve">Three pilot sites were stepped up to test clinical pathways, and data was evaluated by Imperial College from both the pilots and additional models being operated across the country. The work considered if remote monitoring pathways are safe and effective for COVID-19 patients, and whether earlier recognition, escalation, </w:t>
      </w:r>
      <w:proofErr w:type="gramStart"/>
      <w:r w:rsidR="005B6D13" w:rsidRPr="00517BEF">
        <w:rPr>
          <w:rFonts w:cstheme="minorHAnsi"/>
        </w:rPr>
        <w:t>admission</w:t>
      </w:r>
      <w:proofErr w:type="gramEnd"/>
      <w:r w:rsidR="005B6D13" w:rsidRPr="00517BEF">
        <w:rPr>
          <w:rFonts w:cstheme="minorHAnsi"/>
        </w:rPr>
        <w:t xml:space="preserve"> and treatment of deteriorating patients could save lives.</w:t>
      </w:r>
    </w:p>
    <w:p w14:paraId="3A53E6E8" w14:textId="04745CB0" w:rsidR="00350B98" w:rsidRPr="00517BEF" w:rsidRDefault="00350B98" w:rsidP="00517BEF">
      <w:pPr>
        <w:autoSpaceDE w:val="0"/>
        <w:autoSpaceDN w:val="0"/>
        <w:adjustRightInd w:val="0"/>
        <w:spacing w:after="0" w:line="276" w:lineRule="auto"/>
        <w:rPr>
          <w:rFonts w:cstheme="minorHAnsi"/>
        </w:rPr>
      </w:pPr>
      <w:r w:rsidRPr="00517BEF">
        <w:rPr>
          <w:rFonts w:cstheme="minorHAnsi"/>
        </w:rPr>
        <w:t xml:space="preserve">They recruited higher risk patients </w:t>
      </w:r>
      <w:proofErr w:type="spellStart"/>
      <w:r w:rsidRPr="00517BEF">
        <w:rPr>
          <w:rFonts w:cstheme="minorHAnsi"/>
        </w:rPr>
        <w:t>base</w:t>
      </w:r>
      <w:proofErr w:type="spellEnd"/>
      <w:r w:rsidRPr="00517BEF">
        <w:rPr>
          <w:rFonts w:cstheme="minorHAnsi"/>
        </w:rPr>
        <w:t xml:space="preserve"> on age</w:t>
      </w:r>
      <w:r w:rsidR="003C0629">
        <w:rPr>
          <w:rFonts w:cstheme="minorHAnsi"/>
        </w:rPr>
        <w:t xml:space="preserve"> </w:t>
      </w:r>
      <w:r w:rsidRPr="00517BEF">
        <w:rPr>
          <w:rFonts w:cstheme="minorHAnsi"/>
        </w:rPr>
        <w:t>&gt;</w:t>
      </w:r>
      <w:proofErr w:type="gramStart"/>
      <w:r w:rsidRPr="00517BEF">
        <w:rPr>
          <w:rFonts w:cstheme="minorHAnsi"/>
        </w:rPr>
        <w:t>65,  or</w:t>
      </w:r>
      <w:proofErr w:type="gramEnd"/>
      <w:r w:rsidRPr="00517BEF">
        <w:rPr>
          <w:rFonts w:cstheme="minorHAnsi"/>
        </w:rPr>
        <w:t xml:space="preserve"> under 65 + BAME, underlying co-morbidities, learning difficulty and high risk professions. </w:t>
      </w:r>
    </w:p>
    <w:p w14:paraId="3FCE1E09" w14:textId="77777777" w:rsidR="00285738" w:rsidRPr="00517BEF" w:rsidRDefault="00285738" w:rsidP="00517BEF">
      <w:pPr>
        <w:numPr>
          <w:ilvl w:val="0"/>
          <w:numId w:val="21"/>
        </w:numPr>
        <w:autoSpaceDE w:val="0"/>
        <w:autoSpaceDN w:val="0"/>
        <w:adjustRightInd w:val="0"/>
        <w:spacing w:after="0" w:line="276" w:lineRule="auto"/>
        <w:rPr>
          <w:rFonts w:cstheme="minorHAnsi"/>
        </w:rPr>
      </w:pPr>
      <w:r w:rsidRPr="00517BEF">
        <w:rPr>
          <w:rFonts w:cstheme="minorHAnsi"/>
        </w:rPr>
        <w:t xml:space="preserve">Initial standardised assessment </w:t>
      </w:r>
    </w:p>
    <w:p w14:paraId="61630B3F" w14:textId="77777777" w:rsidR="00285738" w:rsidRPr="00517BEF" w:rsidRDefault="00285738" w:rsidP="00517BEF">
      <w:pPr>
        <w:numPr>
          <w:ilvl w:val="0"/>
          <w:numId w:val="21"/>
        </w:numPr>
        <w:autoSpaceDE w:val="0"/>
        <w:autoSpaceDN w:val="0"/>
        <w:adjustRightInd w:val="0"/>
        <w:spacing w:after="0" w:line="276" w:lineRule="auto"/>
        <w:rPr>
          <w:rFonts w:cstheme="minorHAnsi"/>
        </w:rPr>
      </w:pPr>
      <w:r w:rsidRPr="00517BEF">
        <w:rPr>
          <w:rFonts w:cstheme="minorHAnsi"/>
        </w:rPr>
        <w:t>Pulse oximeter, diary and supporting materials</w:t>
      </w:r>
    </w:p>
    <w:p w14:paraId="2FB350C5" w14:textId="77777777" w:rsidR="00285738" w:rsidRPr="00517BEF" w:rsidRDefault="00285738" w:rsidP="00517BEF">
      <w:pPr>
        <w:numPr>
          <w:ilvl w:val="0"/>
          <w:numId w:val="21"/>
        </w:numPr>
        <w:autoSpaceDE w:val="0"/>
        <w:autoSpaceDN w:val="0"/>
        <w:adjustRightInd w:val="0"/>
        <w:spacing w:after="0" w:line="276" w:lineRule="auto"/>
        <w:rPr>
          <w:rFonts w:cstheme="minorHAnsi"/>
        </w:rPr>
      </w:pPr>
      <w:r w:rsidRPr="00517BEF">
        <w:rPr>
          <w:rFonts w:cstheme="minorHAnsi"/>
        </w:rPr>
        <w:t>“Check-in” phone call at days 2, 5, 7, 10 and 12: standard script</w:t>
      </w:r>
    </w:p>
    <w:p w14:paraId="0D2E6A17" w14:textId="77777777" w:rsidR="00285738" w:rsidRPr="00517BEF" w:rsidRDefault="00285738" w:rsidP="00517BEF">
      <w:pPr>
        <w:numPr>
          <w:ilvl w:val="0"/>
          <w:numId w:val="21"/>
        </w:numPr>
        <w:autoSpaceDE w:val="0"/>
        <w:autoSpaceDN w:val="0"/>
        <w:adjustRightInd w:val="0"/>
        <w:spacing w:after="0" w:line="276" w:lineRule="auto"/>
        <w:rPr>
          <w:rFonts w:cstheme="minorHAnsi"/>
        </w:rPr>
      </w:pPr>
      <w:r w:rsidRPr="00517BEF">
        <w:rPr>
          <w:rFonts w:cstheme="minorHAnsi"/>
        </w:rPr>
        <w:t>24/7 access to advice and support</w:t>
      </w:r>
    </w:p>
    <w:p w14:paraId="48A8A3A3" w14:textId="77777777" w:rsidR="00285738" w:rsidRPr="00517BEF" w:rsidRDefault="00285738" w:rsidP="00517BEF">
      <w:pPr>
        <w:numPr>
          <w:ilvl w:val="0"/>
          <w:numId w:val="21"/>
        </w:numPr>
        <w:autoSpaceDE w:val="0"/>
        <w:autoSpaceDN w:val="0"/>
        <w:adjustRightInd w:val="0"/>
        <w:spacing w:after="0" w:line="276" w:lineRule="auto"/>
        <w:rPr>
          <w:rFonts w:cstheme="minorHAnsi"/>
        </w:rPr>
      </w:pPr>
      <w:r w:rsidRPr="00517BEF">
        <w:rPr>
          <w:rFonts w:cstheme="minorHAnsi"/>
        </w:rPr>
        <w:t>Follow-up call at 14 days to “discharge” from the service</w:t>
      </w:r>
    </w:p>
    <w:p w14:paraId="6A46D485" w14:textId="77777777" w:rsidR="00350B98" w:rsidRPr="00517BEF" w:rsidRDefault="00350B98" w:rsidP="00517BEF">
      <w:pPr>
        <w:autoSpaceDE w:val="0"/>
        <w:autoSpaceDN w:val="0"/>
        <w:adjustRightInd w:val="0"/>
        <w:spacing w:line="276" w:lineRule="auto"/>
        <w:rPr>
          <w:rFonts w:cstheme="minorHAnsi"/>
          <w:b/>
          <w:bCs/>
        </w:rPr>
      </w:pPr>
    </w:p>
    <w:p w14:paraId="13336352" w14:textId="77777777" w:rsidR="005B6D13" w:rsidRPr="00517BEF" w:rsidRDefault="005B6D13" w:rsidP="00517BEF">
      <w:pPr>
        <w:autoSpaceDE w:val="0"/>
        <w:autoSpaceDN w:val="0"/>
        <w:adjustRightInd w:val="0"/>
        <w:spacing w:after="0" w:line="276" w:lineRule="auto"/>
        <w:rPr>
          <w:rFonts w:cstheme="minorHAnsi"/>
        </w:rPr>
      </w:pPr>
      <w:r w:rsidRPr="00517BEF">
        <w:rPr>
          <w:rFonts w:cstheme="minorHAnsi"/>
          <w:b/>
          <w:bCs/>
        </w:rPr>
        <w:t>Key findings</w:t>
      </w:r>
    </w:p>
    <w:p w14:paraId="3575EE0C" w14:textId="77777777" w:rsidR="005B6D13" w:rsidRPr="00517BEF" w:rsidRDefault="005B6D13" w:rsidP="00517BEF">
      <w:pPr>
        <w:numPr>
          <w:ilvl w:val="0"/>
          <w:numId w:val="20"/>
        </w:numPr>
        <w:autoSpaceDE w:val="0"/>
        <w:autoSpaceDN w:val="0"/>
        <w:adjustRightInd w:val="0"/>
        <w:spacing w:after="0" w:line="276" w:lineRule="auto"/>
        <w:rPr>
          <w:rFonts w:cstheme="minorHAnsi"/>
        </w:rPr>
      </w:pPr>
      <w:r w:rsidRPr="00517BEF">
        <w:rPr>
          <w:rFonts w:cstheme="minorHAnsi"/>
          <w:b/>
          <w:bCs/>
        </w:rPr>
        <w:t xml:space="preserve">COVID </w:t>
      </w:r>
      <w:proofErr w:type="spellStart"/>
      <w:r w:rsidRPr="00517BEF">
        <w:rPr>
          <w:rFonts w:cstheme="minorHAnsi"/>
          <w:b/>
          <w:bCs/>
        </w:rPr>
        <w:t>care@home</w:t>
      </w:r>
      <w:proofErr w:type="spellEnd"/>
      <w:r w:rsidRPr="00517BEF">
        <w:rPr>
          <w:rFonts w:cstheme="minorHAnsi"/>
          <w:b/>
          <w:bCs/>
        </w:rPr>
        <w:t xml:space="preserve"> is safe and reports positive patient experience</w:t>
      </w:r>
      <w:r w:rsidRPr="00517BEF">
        <w:rPr>
          <w:rFonts w:cstheme="minorHAnsi"/>
        </w:rPr>
        <w:t>. The proposed assessment and treatment pathways, with associated assumptions on oxygen saturations and safety netting recommendations, are correct. Remote monitoring pathways can be set up in 3-4 weeks. We also have a defined the target patient group.</w:t>
      </w:r>
    </w:p>
    <w:p w14:paraId="083A111D" w14:textId="54609F00" w:rsidR="005B6D13" w:rsidRPr="00517BEF" w:rsidRDefault="005B6D13" w:rsidP="00517BEF">
      <w:pPr>
        <w:numPr>
          <w:ilvl w:val="0"/>
          <w:numId w:val="20"/>
        </w:numPr>
        <w:autoSpaceDE w:val="0"/>
        <w:autoSpaceDN w:val="0"/>
        <w:adjustRightInd w:val="0"/>
        <w:spacing w:after="0" w:line="276" w:lineRule="auto"/>
        <w:rPr>
          <w:rFonts w:cstheme="minorHAnsi"/>
        </w:rPr>
      </w:pPr>
      <w:r w:rsidRPr="00517BEF">
        <w:rPr>
          <w:rFonts w:cstheme="minorHAnsi"/>
          <w:b/>
          <w:bCs/>
        </w:rPr>
        <w:t>However, the benefits are not yet proven</w:t>
      </w:r>
      <w:r w:rsidRPr="00517BEF">
        <w:rPr>
          <w:rFonts w:cstheme="minorHAnsi"/>
        </w:rPr>
        <w:t xml:space="preserve">. Due to the reduction in case numbers during the pilot period it was only possible to include 1,338 patients in the pilots, and it was challenging to identify a reliable comparator group. COVID-related mortality was rare in the monitored population (1.8%). As a result, it </w:t>
      </w:r>
      <w:r w:rsidR="007B2A11" w:rsidRPr="00517BEF">
        <w:rPr>
          <w:rFonts w:cstheme="minorHAnsi"/>
        </w:rPr>
        <w:t>was not</w:t>
      </w:r>
      <w:r w:rsidRPr="00517BEF">
        <w:rPr>
          <w:rFonts w:cstheme="minorHAnsi"/>
        </w:rPr>
        <w:t xml:space="preserve"> possible to demonstrate a significant difference in rates of hospital attendance or all-cause mortality, however there are other indicators of </w:t>
      </w:r>
      <w:proofErr w:type="gramStart"/>
      <w:r w:rsidRPr="00517BEF">
        <w:rPr>
          <w:rFonts w:cstheme="minorHAnsi"/>
        </w:rPr>
        <w:t>benefit.</w:t>
      </w:r>
      <w:r w:rsidR="00350B98" w:rsidRPr="00517BEF">
        <w:rPr>
          <w:rFonts w:cstheme="minorHAnsi"/>
        </w:rPr>
        <w:t>(</w:t>
      </w:r>
      <w:proofErr w:type="gramEnd"/>
      <w:r w:rsidR="00350B98" w:rsidRPr="00517BEF">
        <w:rPr>
          <w:rFonts w:cstheme="minorHAnsi"/>
        </w:rPr>
        <w:t xml:space="preserve"> unspecified)</w:t>
      </w:r>
    </w:p>
    <w:p w14:paraId="36AF3557" w14:textId="77777777" w:rsidR="005B6D13" w:rsidRPr="00517BEF" w:rsidRDefault="005B6D13" w:rsidP="00517BEF">
      <w:pPr>
        <w:numPr>
          <w:ilvl w:val="0"/>
          <w:numId w:val="20"/>
        </w:numPr>
        <w:autoSpaceDE w:val="0"/>
        <w:autoSpaceDN w:val="0"/>
        <w:adjustRightInd w:val="0"/>
        <w:spacing w:after="0" w:line="276" w:lineRule="auto"/>
        <w:rPr>
          <w:rFonts w:cstheme="minorHAnsi"/>
        </w:rPr>
      </w:pPr>
      <w:r w:rsidRPr="00517BEF">
        <w:rPr>
          <w:rFonts w:cstheme="minorHAnsi"/>
          <w:b/>
          <w:bCs/>
        </w:rPr>
        <w:t xml:space="preserve">COVID </w:t>
      </w:r>
      <w:proofErr w:type="spellStart"/>
      <w:r w:rsidRPr="00517BEF">
        <w:rPr>
          <w:rFonts w:cstheme="minorHAnsi"/>
          <w:b/>
          <w:bCs/>
        </w:rPr>
        <w:t>care@home</w:t>
      </w:r>
      <w:proofErr w:type="spellEnd"/>
      <w:r w:rsidRPr="00517BEF">
        <w:rPr>
          <w:rFonts w:cstheme="minorHAnsi"/>
          <w:b/>
          <w:bCs/>
        </w:rPr>
        <w:t xml:space="preserve"> has strong clinical </w:t>
      </w:r>
      <w:proofErr w:type="gramStart"/>
      <w:r w:rsidRPr="00517BEF">
        <w:rPr>
          <w:rFonts w:cstheme="minorHAnsi"/>
          <w:b/>
          <w:bCs/>
        </w:rPr>
        <w:t xml:space="preserve">support, </w:t>
      </w:r>
      <w:r w:rsidRPr="00517BEF">
        <w:rPr>
          <w:rFonts w:cstheme="minorHAnsi"/>
        </w:rPr>
        <w:t>and</w:t>
      </w:r>
      <w:proofErr w:type="gramEnd"/>
      <w:r w:rsidRPr="00517BEF">
        <w:rPr>
          <w:rFonts w:cstheme="minorHAnsi"/>
        </w:rPr>
        <w:t xml:space="preserve"> is being implemented piecemeal in many areas of England. There are additional benefits in terms of the wider COVID response, integration with other services and public reassurance. These slides set out the proposed model of care and plans for implementation.</w:t>
      </w:r>
    </w:p>
    <w:p w14:paraId="28AAB5B7" w14:textId="51164A05" w:rsidR="0000391D" w:rsidRPr="00517BEF" w:rsidRDefault="0000391D" w:rsidP="00517BEF">
      <w:pPr>
        <w:autoSpaceDE w:val="0"/>
        <w:autoSpaceDN w:val="0"/>
        <w:adjustRightInd w:val="0"/>
        <w:spacing w:after="0" w:line="276" w:lineRule="auto"/>
        <w:rPr>
          <w:rFonts w:cstheme="minorHAnsi"/>
        </w:rPr>
      </w:pPr>
    </w:p>
    <w:p w14:paraId="10CDD4C0" w14:textId="580BDAE2" w:rsidR="00285738" w:rsidRPr="00517BEF" w:rsidRDefault="0068772B" w:rsidP="00517BEF">
      <w:pPr>
        <w:autoSpaceDE w:val="0"/>
        <w:autoSpaceDN w:val="0"/>
        <w:adjustRightInd w:val="0"/>
        <w:spacing w:after="0" w:line="276" w:lineRule="auto"/>
        <w:rPr>
          <w:rFonts w:cstheme="minorHAnsi"/>
        </w:rPr>
      </w:pPr>
      <w:r w:rsidRPr="00517BEF">
        <w:rPr>
          <w:rFonts w:cstheme="minorHAnsi"/>
          <w:b/>
          <w:bCs/>
        </w:rPr>
        <w:t xml:space="preserve">USA , S California, </w:t>
      </w:r>
      <w:r w:rsidR="00BE5F3D" w:rsidRPr="00517BEF">
        <w:rPr>
          <w:rFonts w:cstheme="minorHAnsi"/>
          <w:b/>
          <w:bCs/>
        </w:rPr>
        <w:t xml:space="preserve">Kaiser Permanente: </w:t>
      </w:r>
      <w:r w:rsidR="00BE5F3D" w:rsidRPr="00517BEF">
        <w:rPr>
          <w:rFonts w:cstheme="minorHAnsi"/>
        </w:rPr>
        <w:t xml:space="preserve"> In a meeting in June</w:t>
      </w:r>
      <w:r w:rsidR="007B2A11" w:rsidRPr="00517BEF">
        <w:rPr>
          <w:rFonts w:cstheme="minorHAnsi"/>
        </w:rPr>
        <w:t xml:space="preserve"> with Digital Health Innovation and the TEC </w:t>
      </w:r>
      <w:proofErr w:type="spellStart"/>
      <w:r w:rsidR="007B2A11" w:rsidRPr="00517BEF">
        <w:rPr>
          <w:rFonts w:cstheme="minorHAnsi"/>
        </w:rPr>
        <w:t>COvid</w:t>
      </w:r>
      <w:proofErr w:type="spellEnd"/>
      <w:r w:rsidR="007B2A11" w:rsidRPr="00517BEF">
        <w:rPr>
          <w:rFonts w:cstheme="minorHAnsi"/>
        </w:rPr>
        <w:t xml:space="preserve"> </w:t>
      </w:r>
      <w:r w:rsidR="0032711B" w:rsidRPr="00517BEF">
        <w:rPr>
          <w:rFonts w:cstheme="minorHAnsi"/>
        </w:rPr>
        <w:t>Response group,</w:t>
      </w:r>
      <w:r w:rsidR="00BE5F3D" w:rsidRPr="00517BEF">
        <w:rPr>
          <w:rFonts w:cstheme="minorHAnsi"/>
        </w:rPr>
        <w:t xml:space="preserve"> </w:t>
      </w:r>
      <w:r w:rsidR="0032711B" w:rsidRPr="00517BEF">
        <w:rPr>
          <w:rFonts w:cstheme="minorHAnsi"/>
        </w:rPr>
        <w:t>m</w:t>
      </w:r>
      <w:r w:rsidR="00BE5F3D" w:rsidRPr="00517BEF">
        <w:rPr>
          <w:rFonts w:cstheme="minorHAnsi"/>
        </w:rPr>
        <w:t>embers of the clinical team from KP in  Southern California describe</w:t>
      </w:r>
      <w:r w:rsidR="0032711B" w:rsidRPr="00517BEF">
        <w:rPr>
          <w:rFonts w:cstheme="minorHAnsi"/>
        </w:rPr>
        <w:t>d</w:t>
      </w:r>
      <w:r w:rsidR="00BE5F3D" w:rsidRPr="00517BEF">
        <w:rPr>
          <w:rFonts w:cstheme="minorHAnsi"/>
        </w:rPr>
        <w:t xml:space="preserve"> a telemonitoring system they had set up to manage acute COVID at home.</w:t>
      </w:r>
      <w:r w:rsidR="00643500" w:rsidRPr="00517BEF">
        <w:rPr>
          <w:rFonts w:cstheme="minorHAnsi"/>
        </w:rPr>
        <w:t xml:space="preserve"> This consisted of a traditional telemonitoring system which alerted clinicians if symptoms or physiological parameters (temperature and pulse </w:t>
      </w:r>
      <w:proofErr w:type="spellStart"/>
      <w:proofErr w:type="gramStart"/>
      <w:r w:rsidR="00643500" w:rsidRPr="00517BEF">
        <w:rPr>
          <w:rFonts w:cstheme="minorHAnsi"/>
        </w:rPr>
        <w:t>oximetery</w:t>
      </w:r>
      <w:proofErr w:type="spellEnd"/>
      <w:r w:rsidR="00643500" w:rsidRPr="00517BEF">
        <w:rPr>
          <w:rFonts w:cstheme="minorHAnsi"/>
        </w:rPr>
        <w:t>)were</w:t>
      </w:r>
      <w:proofErr w:type="gramEnd"/>
      <w:r w:rsidR="00643500" w:rsidRPr="00517BEF">
        <w:rPr>
          <w:rFonts w:cstheme="minorHAnsi"/>
        </w:rPr>
        <w:t xml:space="preserve"> breached,  backed up by daily phone calls. </w:t>
      </w:r>
      <w:r w:rsidR="00BE5F3D" w:rsidRPr="00517BEF">
        <w:rPr>
          <w:rFonts w:cstheme="minorHAnsi"/>
        </w:rPr>
        <w:t xml:space="preserve"> The </w:t>
      </w:r>
      <w:r w:rsidR="001F3620" w:rsidRPr="00517BEF">
        <w:rPr>
          <w:rFonts w:cstheme="minorHAnsi"/>
        </w:rPr>
        <w:t xml:space="preserve">full </w:t>
      </w:r>
      <w:r w:rsidR="00BE5F3D" w:rsidRPr="00517BEF">
        <w:rPr>
          <w:rFonts w:cstheme="minorHAnsi"/>
        </w:rPr>
        <w:t xml:space="preserve">results are </w:t>
      </w:r>
      <w:r w:rsidR="001F3620" w:rsidRPr="00517BEF">
        <w:rPr>
          <w:rFonts w:cstheme="minorHAnsi"/>
        </w:rPr>
        <w:t>not yet available</w:t>
      </w:r>
      <w:r w:rsidR="00BE5F3D" w:rsidRPr="00517BEF">
        <w:rPr>
          <w:rFonts w:cstheme="minorHAnsi"/>
        </w:rPr>
        <w:t>,</w:t>
      </w:r>
      <w:r w:rsidR="0032711B" w:rsidRPr="00517BEF">
        <w:rPr>
          <w:rFonts w:cstheme="minorHAnsi"/>
        </w:rPr>
        <w:t xml:space="preserve"> but in personal correspondence  (14/10/20)</w:t>
      </w:r>
      <w:r w:rsidR="00BE5F3D" w:rsidRPr="00517BEF">
        <w:rPr>
          <w:rFonts w:cstheme="minorHAnsi"/>
        </w:rPr>
        <w:t xml:space="preserve"> </w:t>
      </w:r>
      <w:r w:rsidR="0032711B" w:rsidRPr="00517BEF">
        <w:rPr>
          <w:rFonts w:cstheme="minorHAnsi"/>
        </w:rPr>
        <w:t>the reported that</w:t>
      </w:r>
      <w:r w:rsidR="001F3620" w:rsidRPr="00517BEF">
        <w:rPr>
          <w:rFonts w:cstheme="minorHAnsi"/>
        </w:rPr>
        <w:t xml:space="preserve"> since April they have enrolled &gt;4000 patients, </w:t>
      </w:r>
      <w:r w:rsidR="00BE5F3D" w:rsidRPr="00517BEF">
        <w:rPr>
          <w:rFonts w:cstheme="minorHAnsi"/>
        </w:rPr>
        <w:t xml:space="preserve"> </w:t>
      </w:r>
      <w:r w:rsidR="001F3620" w:rsidRPr="00517BEF">
        <w:rPr>
          <w:rFonts w:cstheme="minorHAnsi"/>
        </w:rPr>
        <w:t xml:space="preserve">physician engagement </w:t>
      </w:r>
      <w:r w:rsidR="0032711B" w:rsidRPr="00517BEF">
        <w:rPr>
          <w:rFonts w:cstheme="minorHAnsi"/>
        </w:rPr>
        <w:t>has been</w:t>
      </w:r>
      <w:r w:rsidR="001F3620" w:rsidRPr="00517BEF">
        <w:rPr>
          <w:rFonts w:cstheme="minorHAnsi"/>
        </w:rPr>
        <w:t xml:space="preserve"> robust, they have used the system for early discharge and to monitor home oxygen therapy. They believe that patients are being safely managed at home with no reduction in care levels.  </w:t>
      </w:r>
    </w:p>
    <w:p w14:paraId="6FDD15F3" w14:textId="2141F763" w:rsidR="00BE5F3D" w:rsidRDefault="00BE5F3D" w:rsidP="00517BEF">
      <w:pPr>
        <w:autoSpaceDE w:val="0"/>
        <w:autoSpaceDN w:val="0"/>
        <w:adjustRightInd w:val="0"/>
        <w:spacing w:after="0" w:line="276" w:lineRule="auto"/>
        <w:rPr>
          <w:rFonts w:cstheme="minorHAnsi"/>
          <w:b/>
          <w:bCs/>
        </w:rPr>
      </w:pPr>
    </w:p>
    <w:p w14:paraId="66A2F11E" w14:textId="77777777" w:rsidR="00102A06" w:rsidRPr="00517BEF" w:rsidRDefault="00102A06" w:rsidP="00517BEF">
      <w:pPr>
        <w:spacing w:line="276" w:lineRule="auto"/>
        <w:rPr>
          <w:rFonts w:cstheme="minorHAnsi"/>
          <w:b/>
          <w:bCs/>
        </w:rPr>
      </w:pPr>
      <w:r w:rsidRPr="00517BEF">
        <w:rPr>
          <w:rFonts w:cstheme="minorHAnsi"/>
          <w:b/>
          <w:bCs/>
        </w:rPr>
        <w:t>Implementing telemonitoring in people with suspected or proven COVID-19</w:t>
      </w:r>
    </w:p>
    <w:p w14:paraId="14090A9B" w14:textId="77777777" w:rsidR="00102A06" w:rsidRPr="00517BEF" w:rsidRDefault="00102A06" w:rsidP="00517BEF">
      <w:pPr>
        <w:spacing w:line="276" w:lineRule="auto"/>
        <w:rPr>
          <w:rFonts w:cstheme="minorHAnsi"/>
          <w:b/>
          <w:bCs/>
        </w:rPr>
      </w:pPr>
      <w:r w:rsidRPr="00517BEF">
        <w:rPr>
          <w:rFonts w:cstheme="minorHAnsi"/>
        </w:rPr>
        <w:t xml:space="preserve">The best way to deliver telemonitoring will vary according to local care pathways and infrastructure, but all implementations have to address common challenges including usability, choice of which data to collect, devices and data transmission, and evaluation and optimisation. </w:t>
      </w:r>
    </w:p>
    <w:p w14:paraId="39DD0F21" w14:textId="77777777" w:rsidR="00102A06" w:rsidRPr="00517BEF" w:rsidRDefault="00102A06" w:rsidP="00517BEF">
      <w:pPr>
        <w:autoSpaceDE w:val="0"/>
        <w:autoSpaceDN w:val="0"/>
        <w:adjustRightInd w:val="0"/>
        <w:spacing w:after="0" w:line="276" w:lineRule="auto"/>
        <w:rPr>
          <w:rFonts w:cstheme="minorHAnsi"/>
          <w:b/>
          <w:bCs/>
        </w:rPr>
      </w:pPr>
    </w:p>
    <w:p w14:paraId="1BEE2640" w14:textId="3C29DA5A" w:rsidR="00BE5F3D" w:rsidRPr="00517BEF" w:rsidRDefault="00BE5F3D" w:rsidP="00517BEF">
      <w:pPr>
        <w:spacing w:line="276" w:lineRule="auto"/>
        <w:rPr>
          <w:rFonts w:cstheme="minorHAnsi"/>
        </w:rPr>
      </w:pPr>
      <w:r w:rsidRPr="00517BEF">
        <w:rPr>
          <w:rFonts w:cstheme="minorHAnsi"/>
          <w:i/>
          <w:iCs/>
        </w:rPr>
        <w:t xml:space="preserve">Data collection and devices </w:t>
      </w:r>
      <w:r w:rsidRPr="00517BEF">
        <w:rPr>
          <w:rFonts w:cstheme="minorHAnsi"/>
        </w:rPr>
        <w:t xml:space="preserve">(see table </w:t>
      </w:r>
      <w:r w:rsidR="0095067E" w:rsidRPr="00517BEF">
        <w:rPr>
          <w:rFonts w:cstheme="minorHAnsi"/>
        </w:rPr>
        <w:t>1</w:t>
      </w:r>
      <w:r w:rsidRPr="00517BEF">
        <w:rPr>
          <w:rFonts w:cstheme="minorHAnsi"/>
        </w:rPr>
        <w:t>): Early data from the pandemic identified important predictors of serious disease including symptoms such as increasing breathlessness and high fever, and physiological metrics, such as pulse rate and oxygen saturation (SpO</w:t>
      </w:r>
      <w:r w:rsidRPr="00517BEF">
        <w:rPr>
          <w:rFonts w:cstheme="minorHAnsi"/>
          <w:vertAlign w:val="subscript"/>
        </w:rPr>
        <w:t>2</w:t>
      </w:r>
      <w:r w:rsidRPr="00517BEF">
        <w:rPr>
          <w:rFonts w:cstheme="minorHAnsi"/>
        </w:rPr>
        <w:t>) easily measured by low-cost devices. Raised respiratory rate, a strong predictor of poor outcomes, is more challenging to measure remotely,</w:t>
      </w:r>
      <w:r w:rsidR="00576275" w:rsidRPr="00517BEF">
        <w:rPr>
          <w:rStyle w:val="EndnoteReference"/>
          <w:rFonts w:cstheme="minorHAnsi"/>
        </w:rPr>
        <w:endnoteReference w:id="24"/>
      </w:r>
      <w:r w:rsidR="00576275" w:rsidRPr="00517BEF">
        <w:rPr>
          <w:rFonts w:cstheme="minorHAnsi"/>
          <w:vertAlign w:val="superscript"/>
        </w:rPr>
        <w:t>,</w:t>
      </w:r>
      <w:r w:rsidR="00576275" w:rsidRPr="00517BEF">
        <w:rPr>
          <w:rStyle w:val="EndnoteReference"/>
          <w:rFonts w:cstheme="minorHAnsi"/>
        </w:rPr>
        <w:endnoteReference w:id="25"/>
      </w:r>
      <w:r w:rsidRPr="00517BEF">
        <w:rPr>
          <w:rFonts w:cstheme="minorHAnsi"/>
        </w:rPr>
        <w:t xml:space="preserve"> but, recently, pulse-oximeters which can estimate respiratory rate using the photoplethysmography (PPG) waveform and its amplitude variation</w:t>
      </w:r>
      <w:r w:rsidR="007D4E0D" w:rsidRPr="00517BEF">
        <w:rPr>
          <w:rStyle w:val="EndnoteReference"/>
          <w:rFonts w:cstheme="minorHAnsi"/>
        </w:rPr>
        <w:endnoteReference w:id="26"/>
      </w:r>
      <w:r w:rsidR="007D4E0D" w:rsidRPr="00517BEF">
        <w:rPr>
          <w:rFonts w:cstheme="minorHAnsi"/>
          <w:vertAlign w:val="superscript"/>
        </w:rPr>
        <w:t>,</w:t>
      </w:r>
      <w:r w:rsidR="007D4E0D" w:rsidRPr="00517BEF">
        <w:rPr>
          <w:rStyle w:val="EndnoteReference"/>
          <w:rFonts w:cstheme="minorHAnsi"/>
        </w:rPr>
        <w:endnoteReference w:id="27"/>
      </w:r>
      <w:r w:rsidRPr="00517BEF">
        <w:rPr>
          <w:rFonts w:cstheme="minorHAnsi"/>
        </w:rPr>
        <w:t xml:space="preserve"> have become available. During the COVID-19 pandemic, there have been supply-chain difficulties for medical devices including pulse oximeters, as worldwide demand has soared. This means that safe methods for collecting, </w:t>
      </w:r>
      <w:proofErr w:type="gramStart"/>
      <w:r w:rsidRPr="00517BEF">
        <w:rPr>
          <w:rFonts w:cstheme="minorHAnsi"/>
        </w:rPr>
        <w:t>cleaning</w:t>
      </w:r>
      <w:proofErr w:type="gramEnd"/>
      <w:r w:rsidRPr="00517BEF">
        <w:rPr>
          <w:rFonts w:cstheme="minorHAnsi"/>
        </w:rPr>
        <w:t xml:space="preserve"> and re-using equipment will be necessary. Along with data for immediate decision-making on the need for re-assessment, there is an opportunity to collect data to help characterise the natural history of the illness, contribute to future predictive algorithms and identify potential participants for mechanistic research, and clinical trials. </w:t>
      </w:r>
    </w:p>
    <w:p w14:paraId="7FA3D229" w14:textId="3361831F" w:rsidR="00643500" w:rsidRPr="00517BEF" w:rsidRDefault="00643500" w:rsidP="00517BEF">
      <w:pPr>
        <w:spacing w:line="276" w:lineRule="auto"/>
        <w:rPr>
          <w:rFonts w:cstheme="minorHAnsi"/>
        </w:rPr>
      </w:pPr>
      <w:r w:rsidRPr="00517BEF">
        <w:rPr>
          <w:rFonts w:cstheme="minorHAnsi"/>
          <w:i/>
          <w:iCs/>
        </w:rPr>
        <w:t>Usability:</w:t>
      </w:r>
      <w:r w:rsidRPr="00517BEF">
        <w:rPr>
          <w:rFonts w:cstheme="minorHAnsi"/>
        </w:rPr>
        <w:t xml:space="preserve"> Systems should be selected that are as simple as possible for clinicians to deploy and explain to patients, for patients (or their carers) to interact with, and for clinicians to access data they send back. Unnecessary features or complexity will reduce adoption, scale-up and spread.</w:t>
      </w:r>
      <w:r w:rsidR="007D4E0D" w:rsidRPr="00517BEF">
        <w:rPr>
          <w:rStyle w:val="EndnoteReference"/>
          <w:rFonts w:cstheme="minorHAnsi"/>
        </w:rPr>
        <w:endnoteReference w:id="28"/>
      </w:r>
    </w:p>
    <w:p w14:paraId="6BDC0482" w14:textId="59D8FBD9" w:rsidR="00643500" w:rsidRPr="00517BEF" w:rsidRDefault="00643500" w:rsidP="00517BEF">
      <w:pPr>
        <w:spacing w:line="276" w:lineRule="auto"/>
        <w:rPr>
          <w:rFonts w:cstheme="minorHAnsi"/>
        </w:rPr>
      </w:pPr>
      <w:r w:rsidRPr="00517BEF">
        <w:rPr>
          <w:rFonts w:cstheme="minorHAnsi"/>
          <w:i/>
          <w:iCs/>
        </w:rPr>
        <w:t>Data transmission</w:t>
      </w:r>
      <w:r w:rsidRPr="00517BEF">
        <w:rPr>
          <w:rFonts w:cstheme="minorHAnsi"/>
        </w:rPr>
        <w:t>: Ideally, systems should work across a range of mobile phones, tablets and computers,</w:t>
      </w:r>
      <w:r w:rsidR="007D4E0D" w:rsidRPr="00517BEF">
        <w:rPr>
          <w:rFonts w:cstheme="minorHAnsi"/>
        </w:rPr>
        <w:t xml:space="preserve"> and touch tone phones</w:t>
      </w:r>
      <w:r w:rsidRPr="00517BEF">
        <w:rPr>
          <w:rFonts w:cstheme="minorHAnsi"/>
        </w:rPr>
        <w:t xml:space="preserve"> and link to health service systems using open standards so that the service obtains timely robust data which are critical to managing workload. Telemonitoring systems that require patients to subscribe using their own smartphones or tablet PCs, or that use closed-access data systems, could exclude more vulnerable older and poorer people who are less likely to have a smartphone or internet access.</w:t>
      </w:r>
      <w:r w:rsidR="007D4E0D" w:rsidRPr="00517BEF">
        <w:rPr>
          <w:rStyle w:val="EndnoteReference"/>
          <w:rFonts w:cstheme="minorHAnsi"/>
        </w:rPr>
        <w:endnoteReference w:id="29"/>
      </w:r>
      <w:r w:rsidRPr="00517BEF">
        <w:rPr>
          <w:rFonts w:cstheme="minorHAnsi"/>
        </w:rPr>
        <w:t xml:space="preserve"> </w:t>
      </w:r>
    </w:p>
    <w:p w14:paraId="49F46447" w14:textId="517D6463" w:rsidR="005012E3" w:rsidRPr="00517BEF" w:rsidRDefault="005012E3" w:rsidP="00517BEF">
      <w:pPr>
        <w:spacing w:line="276" w:lineRule="auto"/>
        <w:rPr>
          <w:rFonts w:cstheme="minorHAnsi"/>
          <w:b/>
          <w:bCs/>
        </w:rPr>
      </w:pPr>
      <w:bookmarkStart w:id="9" w:name="_Hlk40340413"/>
      <w:bookmarkEnd w:id="5"/>
      <w:r w:rsidRPr="00517BEF">
        <w:rPr>
          <w:rFonts w:cstheme="minorHAnsi"/>
          <w:i/>
          <w:iCs/>
        </w:rPr>
        <w:t xml:space="preserve">Setting triggers for symptom and physiological measurements: </w:t>
      </w:r>
      <w:r w:rsidR="008473E8">
        <w:rPr>
          <w:rFonts w:cstheme="minorHAnsi"/>
        </w:rPr>
        <w:t xml:space="preserve">As evidence accumulates it is becoming clearer </w:t>
      </w:r>
      <w:r w:rsidRPr="00517BEF">
        <w:rPr>
          <w:rFonts w:cstheme="minorHAnsi"/>
        </w:rPr>
        <w:t>which patterns of symptoms or SpO</w:t>
      </w:r>
      <w:r w:rsidRPr="00517BEF">
        <w:rPr>
          <w:rFonts w:cstheme="minorHAnsi"/>
          <w:vertAlign w:val="subscript"/>
        </w:rPr>
        <w:t>2</w:t>
      </w:r>
      <w:r w:rsidRPr="00517BEF">
        <w:rPr>
          <w:rFonts w:cstheme="minorHAnsi"/>
        </w:rPr>
        <w:t xml:space="preserve"> levels are the best markers of early deterioration, so initial alert levels are based on </w:t>
      </w:r>
      <w:r w:rsidR="008473E8">
        <w:rPr>
          <w:rFonts w:cstheme="minorHAnsi"/>
        </w:rPr>
        <w:t xml:space="preserve">expert </w:t>
      </w:r>
      <w:r w:rsidRPr="00517BEF">
        <w:rPr>
          <w:rFonts w:cstheme="minorHAnsi"/>
        </w:rPr>
        <w:t>clinical judgement</w:t>
      </w:r>
      <w:r w:rsidR="00DA3B6E">
        <w:rPr>
          <w:rFonts w:cstheme="minorHAnsi"/>
          <w:vertAlign w:val="superscript"/>
        </w:rPr>
        <w:t>19</w:t>
      </w:r>
      <w:r w:rsidRPr="00517BEF">
        <w:rPr>
          <w:rFonts w:cstheme="minorHAnsi"/>
        </w:rPr>
        <w:t xml:space="preserve"> and extrapolation from other conditions and on national advice.</w:t>
      </w:r>
      <w:r w:rsidR="00102A06" w:rsidRPr="00517BEF">
        <w:rPr>
          <w:rStyle w:val="EndnoteReference"/>
          <w:rFonts w:cstheme="minorHAnsi"/>
        </w:rPr>
        <w:endnoteReference w:id="30"/>
      </w:r>
      <w:r w:rsidRPr="00517BEF">
        <w:rPr>
          <w:rFonts w:cstheme="minorHAnsi"/>
        </w:rPr>
        <w:t xml:space="preserve"> Linkage of telemonitoring data to outcomes (reassessment, admission to hospital, need for respiratory support or ICU, death) will allow tailoring of alert thresholds to the condition.</w:t>
      </w:r>
    </w:p>
    <w:p w14:paraId="54E14CE2" w14:textId="0AEE6AE4" w:rsidR="000522A8" w:rsidRPr="00517BEF" w:rsidRDefault="0068772B" w:rsidP="00517BEF">
      <w:pPr>
        <w:spacing w:line="276" w:lineRule="auto"/>
        <w:rPr>
          <w:rFonts w:cstheme="minorHAnsi"/>
        </w:rPr>
      </w:pPr>
      <w:r w:rsidRPr="00517BEF">
        <w:rPr>
          <w:rFonts w:cstheme="minorHAnsi"/>
          <w:i/>
          <w:iCs/>
        </w:rPr>
        <w:t>Selecting patients for monitoring:</w:t>
      </w:r>
      <w:r w:rsidRPr="00517BEF">
        <w:rPr>
          <w:rFonts w:cstheme="minorHAnsi"/>
        </w:rPr>
        <w:t xml:space="preserve"> Decisions as to who should be monitored will depend on the scale of the pandemic and the availability of resources. </w:t>
      </w:r>
      <w:r w:rsidR="000522A8" w:rsidRPr="00517BEF">
        <w:rPr>
          <w:rFonts w:cstheme="minorHAnsi"/>
        </w:rPr>
        <w:t xml:space="preserve">People at higher risk of admission should be offered monitoring. </w:t>
      </w:r>
      <w:r w:rsidRPr="00517BEF">
        <w:rPr>
          <w:rFonts w:cstheme="minorHAnsi"/>
        </w:rPr>
        <w:t>Two UK based risk calculators are available</w:t>
      </w:r>
      <w:r w:rsidR="000522A8" w:rsidRPr="00517BEF">
        <w:rPr>
          <w:rFonts w:cstheme="minorHAnsi"/>
        </w:rPr>
        <w:t xml:space="preserve"> both based on UK patient outcome data. </w:t>
      </w:r>
      <w:r w:rsidRPr="00517BEF">
        <w:rPr>
          <w:rFonts w:cstheme="minorHAnsi"/>
        </w:rPr>
        <w:t xml:space="preserve"> </w:t>
      </w:r>
    </w:p>
    <w:p w14:paraId="7280D46E" w14:textId="5CC832D6" w:rsidR="005012E3" w:rsidRPr="00517BEF" w:rsidRDefault="0068772B" w:rsidP="00517BEF">
      <w:pPr>
        <w:spacing w:line="276" w:lineRule="auto"/>
        <w:rPr>
          <w:rFonts w:cstheme="minorHAnsi"/>
          <w:shd w:val="clear" w:color="auto" w:fill="FFFFFF"/>
        </w:rPr>
      </w:pPr>
      <w:r w:rsidRPr="00517BEF">
        <w:rPr>
          <w:rFonts w:cstheme="minorHAnsi"/>
          <w:b/>
          <w:bCs/>
          <w:shd w:val="clear" w:color="auto" w:fill="FFFFFF"/>
        </w:rPr>
        <w:t>COVID-AGE</w:t>
      </w:r>
      <w:r w:rsidR="00D648DC" w:rsidRPr="00517BEF">
        <w:rPr>
          <w:rStyle w:val="EndnoteReference"/>
          <w:rFonts w:cstheme="minorHAnsi"/>
          <w:b/>
          <w:bCs/>
          <w:shd w:val="clear" w:color="auto" w:fill="FFFFFF"/>
        </w:rPr>
        <w:endnoteReference w:id="31"/>
      </w:r>
      <w:r w:rsidRPr="00517BEF">
        <w:rPr>
          <w:rFonts w:cstheme="minorHAnsi"/>
          <w:shd w:val="clear" w:color="auto" w:fill="FFFFFF"/>
        </w:rPr>
        <w:t xml:space="preserve"> summarises vulnerability to COVID for different combinations of risk factors including age, sex and ethnicity and various health problems. It works by “translating” the risk associated with each factor into years which are added to (or subtracted from) an individual’s actual age.  This then gives a single overall measure of vulnerability. It can be used in people with no underlying medical conditions or multiple medical conditions. One measure combines </w:t>
      </w:r>
      <w:proofErr w:type="gramStart"/>
      <w:r w:rsidRPr="00517BEF">
        <w:rPr>
          <w:rFonts w:cstheme="minorHAnsi"/>
          <w:shd w:val="clear" w:color="auto" w:fill="FFFFFF"/>
        </w:rPr>
        <w:t>all of</w:t>
      </w:r>
      <w:proofErr w:type="gramEnd"/>
      <w:r w:rsidRPr="00517BEF">
        <w:rPr>
          <w:rFonts w:cstheme="minorHAnsi"/>
          <w:shd w:val="clear" w:color="auto" w:fill="FFFFFF"/>
        </w:rPr>
        <w:t xml:space="preserve"> an individual’s risk factors with their actual age. Vulnerability is considered very high if the combined age is ≥</w:t>
      </w:r>
      <w:r w:rsidR="000522A8" w:rsidRPr="00517BEF">
        <w:rPr>
          <w:rFonts w:cstheme="minorHAnsi"/>
          <w:shd w:val="clear" w:color="auto" w:fill="FFFFFF"/>
        </w:rPr>
        <w:t xml:space="preserve">85, high 70-84, moderate 50-69 and low &lt;50. There is an online </w:t>
      </w:r>
      <w:proofErr w:type="spellStart"/>
      <w:r w:rsidR="000522A8" w:rsidRPr="00517BEF">
        <w:rPr>
          <w:rFonts w:cstheme="minorHAnsi"/>
          <w:shd w:val="clear" w:color="auto" w:fill="FFFFFF"/>
        </w:rPr>
        <w:t>aplet</w:t>
      </w:r>
      <w:proofErr w:type="spellEnd"/>
      <w:r w:rsidR="000522A8" w:rsidRPr="00517BEF">
        <w:rPr>
          <w:rFonts w:cstheme="minorHAnsi"/>
          <w:shd w:val="clear" w:color="auto" w:fill="FFFFFF"/>
        </w:rPr>
        <w:t xml:space="preserve"> to calculate risk. </w:t>
      </w:r>
    </w:p>
    <w:p w14:paraId="19AFE694" w14:textId="44B9EC16" w:rsidR="000522A8" w:rsidRPr="00517BEF" w:rsidRDefault="000522A8" w:rsidP="00517BEF">
      <w:pPr>
        <w:spacing w:line="276" w:lineRule="auto"/>
        <w:rPr>
          <w:rFonts w:cstheme="minorHAnsi"/>
          <w:bCs/>
          <w:shd w:val="clear" w:color="auto" w:fill="FFFFFF"/>
        </w:rPr>
      </w:pPr>
      <w:r w:rsidRPr="00517BEF">
        <w:rPr>
          <w:rFonts w:cstheme="minorHAnsi"/>
          <w:b/>
          <w:bCs/>
        </w:rPr>
        <w:t>QCOVID</w:t>
      </w:r>
      <w:r w:rsidR="00D648DC" w:rsidRPr="00517BEF">
        <w:rPr>
          <w:rStyle w:val="EndnoteReference"/>
          <w:rFonts w:cstheme="minorHAnsi"/>
          <w:b/>
          <w:bCs/>
        </w:rPr>
        <w:endnoteReference w:id="32"/>
      </w:r>
      <w:r w:rsidRPr="00517BEF">
        <w:rPr>
          <w:rFonts w:cstheme="minorHAnsi"/>
          <w:b/>
          <w:bCs/>
        </w:rPr>
        <w:t xml:space="preserve"> </w:t>
      </w:r>
      <w:r w:rsidR="0019610C" w:rsidRPr="00517BEF">
        <w:rPr>
          <w:rFonts w:cstheme="minorHAnsi"/>
        </w:rPr>
        <w:t>makes use of primary care datasets linked to COVID outcomes</w:t>
      </w:r>
      <w:r w:rsidR="0019610C" w:rsidRPr="00517BEF">
        <w:rPr>
          <w:rFonts w:cstheme="minorHAnsi"/>
          <w:b/>
          <w:bCs/>
        </w:rPr>
        <w:t>.</w:t>
      </w:r>
      <w:r w:rsidR="0019610C" w:rsidRPr="00517BEF">
        <w:rPr>
          <w:rFonts w:cstheme="minorHAnsi"/>
        </w:rPr>
        <w:t xml:space="preserve"> It</w:t>
      </w:r>
      <w:r w:rsidR="0019610C" w:rsidRPr="00517BEF">
        <w:rPr>
          <w:rFonts w:cstheme="minorHAnsi"/>
          <w:b/>
          <w:bCs/>
        </w:rPr>
        <w:t xml:space="preserve"> </w:t>
      </w:r>
      <w:proofErr w:type="gramStart"/>
      <w:r w:rsidRPr="00517BEF">
        <w:rPr>
          <w:rFonts w:cstheme="minorHAnsi"/>
          <w:bCs/>
        </w:rPr>
        <w:t>takes into account</w:t>
      </w:r>
      <w:proofErr w:type="gramEnd"/>
      <w:r w:rsidRPr="00517BEF">
        <w:rPr>
          <w:rFonts w:cstheme="minorHAnsi"/>
          <w:bCs/>
        </w:rPr>
        <w:t xml:space="preserve"> a wider range of factors than COVID-AGE</w:t>
      </w:r>
      <w:r w:rsidR="0019610C" w:rsidRPr="00517BEF">
        <w:rPr>
          <w:rFonts w:cstheme="minorHAnsi"/>
          <w:bCs/>
        </w:rPr>
        <w:t xml:space="preserve"> and includes post-code and deprivation data</w:t>
      </w:r>
      <w:r w:rsidR="00D648DC" w:rsidRPr="00517BEF">
        <w:rPr>
          <w:rFonts w:cstheme="minorHAnsi"/>
          <w:bCs/>
        </w:rPr>
        <w:t xml:space="preserve">. There is the potential to link this to individual GP patient data to calculate an individual overall risk of death or serious outcome. </w:t>
      </w:r>
    </w:p>
    <w:p w14:paraId="305E2C0E" w14:textId="77777777" w:rsidR="000522A8" w:rsidRPr="00517BEF" w:rsidRDefault="000522A8" w:rsidP="00517BEF">
      <w:pPr>
        <w:spacing w:line="276" w:lineRule="auto"/>
        <w:rPr>
          <w:rFonts w:cstheme="minorHAnsi"/>
        </w:rPr>
      </w:pPr>
    </w:p>
    <w:p w14:paraId="793ADAEA" w14:textId="53A6B7BB" w:rsidR="00374D5A" w:rsidRPr="00517BEF" w:rsidRDefault="002F613F" w:rsidP="00517BEF">
      <w:pPr>
        <w:spacing w:line="276" w:lineRule="auto"/>
        <w:rPr>
          <w:rFonts w:cstheme="minorHAnsi"/>
        </w:rPr>
      </w:pPr>
      <w:r w:rsidRPr="00517BEF">
        <w:rPr>
          <w:rFonts w:cstheme="minorHAnsi"/>
          <w:i/>
          <w:iCs/>
        </w:rPr>
        <w:t>Evaluation and optimisation:</w:t>
      </w:r>
      <w:r w:rsidR="00827928" w:rsidRPr="00517BEF">
        <w:rPr>
          <w:rFonts w:cstheme="minorHAnsi"/>
        </w:rPr>
        <w:t xml:space="preserve"> </w:t>
      </w:r>
      <w:r w:rsidRPr="00517BEF">
        <w:rPr>
          <w:rFonts w:cstheme="minorHAnsi"/>
        </w:rPr>
        <w:t xml:space="preserve">COVID-19 requires a rapid implementation at scale of a new kind of telemonitoring. </w:t>
      </w:r>
      <w:r w:rsidR="00126E00" w:rsidRPr="00517BEF">
        <w:rPr>
          <w:rFonts w:cstheme="minorHAnsi"/>
        </w:rPr>
        <w:t xml:space="preserve">There needs to be </w:t>
      </w:r>
      <w:r w:rsidR="00F45D4B" w:rsidRPr="00517BEF">
        <w:rPr>
          <w:rFonts w:cstheme="minorHAnsi"/>
        </w:rPr>
        <w:t xml:space="preserve">awareness </w:t>
      </w:r>
      <w:r w:rsidR="00126E00" w:rsidRPr="00517BEF">
        <w:rPr>
          <w:rFonts w:cstheme="minorHAnsi"/>
        </w:rPr>
        <w:t xml:space="preserve">of the potential risks </w:t>
      </w:r>
      <w:r w:rsidR="00F45D4B" w:rsidRPr="00517BEF">
        <w:rPr>
          <w:rFonts w:cstheme="minorHAnsi"/>
        </w:rPr>
        <w:t>of</w:t>
      </w:r>
      <w:r w:rsidR="00126E00" w:rsidRPr="00517BEF">
        <w:rPr>
          <w:rFonts w:cstheme="minorHAnsi"/>
        </w:rPr>
        <w:t xml:space="preserve"> telemonitoring, </w:t>
      </w:r>
      <w:r w:rsidR="00F822CC" w:rsidRPr="00517BEF">
        <w:rPr>
          <w:rFonts w:cstheme="minorHAnsi"/>
        </w:rPr>
        <w:t>such as</w:t>
      </w:r>
      <w:r w:rsidR="00126E00" w:rsidRPr="00517BEF">
        <w:rPr>
          <w:rFonts w:cstheme="minorHAnsi"/>
        </w:rPr>
        <w:t xml:space="preserve"> over-reliance on physiological parameters by inexperienced clinicians, poor adherence to self-monitoring, or faulty equipment. </w:t>
      </w:r>
      <w:r w:rsidR="006C781C" w:rsidRPr="00517BEF">
        <w:rPr>
          <w:rFonts w:cstheme="minorHAnsi"/>
        </w:rPr>
        <w:t>For example, the afore mentioned significance of changes in SpO</w:t>
      </w:r>
      <w:r w:rsidR="006C781C" w:rsidRPr="00517BEF">
        <w:rPr>
          <w:rFonts w:cstheme="minorHAnsi"/>
          <w:vertAlign w:val="subscript"/>
        </w:rPr>
        <w:t>2</w:t>
      </w:r>
      <w:r w:rsidR="006C781C" w:rsidRPr="00517BEF">
        <w:rPr>
          <w:rFonts w:cstheme="minorHAnsi"/>
        </w:rPr>
        <w:t xml:space="preserve"> in the context of COVID-19 is uncertain. Younger people, for example, are able to initially maintain SpO</w:t>
      </w:r>
      <w:r w:rsidR="006C781C" w:rsidRPr="00517BEF">
        <w:rPr>
          <w:rFonts w:cstheme="minorHAnsi"/>
          <w:vertAlign w:val="subscript"/>
        </w:rPr>
        <w:t>2</w:t>
      </w:r>
      <w:r w:rsidR="006C781C" w:rsidRPr="00517BEF">
        <w:rPr>
          <w:rFonts w:cstheme="minorHAnsi"/>
        </w:rPr>
        <w:t xml:space="preserve"> through increased respiratory effort and the associated left shift of the dissociation curve due to </w:t>
      </w:r>
      <w:proofErr w:type="spellStart"/>
      <w:r w:rsidR="006C781C" w:rsidRPr="00517BEF">
        <w:rPr>
          <w:rFonts w:cstheme="minorHAnsi"/>
        </w:rPr>
        <w:t>hypocapnea</w:t>
      </w:r>
      <w:proofErr w:type="spellEnd"/>
      <w:r w:rsidR="006C781C" w:rsidRPr="00517BEF">
        <w:rPr>
          <w:rFonts w:cstheme="minorHAnsi"/>
        </w:rPr>
        <w:t xml:space="preserve">, but are then at risk of rapid decompensation and deterioration , </w:t>
      </w:r>
      <w:r w:rsidR="006C781C" w:rsidRPr="00517BEF">
        <w:rPr>
          <w:rStyle w:val="EndnoteReference"/>
          <w:rFonts w:cstheme="minorHAnsi"/>
        </w:rPr>
        <w:endnoteReference w:id="33"/>
      </w:r>
      <w:r w:rsidR="006C781C" w:rsidRPr="00517BEF">
        <w:rPr>
          <w:rFonts w:cstheme="minorHAnsi"/>
        </w:rPr>
        <w:t xml:space="preserve"> alongside the emerging reports that others experience only mild breathlessness despite a very low SpO</w:t>
      </w:r>
      <w:r w:rsidR="006C781C" w:rsidRPr="00517BEF">
        <w:rPr>
          <w:rFonts w:cstheme="minorHAnsi"/>
          <w:vertAlign w:val="subscript"/>
        </w:rPr>
        <w:t>2</w:t>
      </w:r>
      <w:r w:rsidR="006C781C" w:rsidRPr="00517BEF">
        <w:rPr>
          <w:rFonts w:cstheme="minorHAnsi"/>
        </w:rPr>
        <w:t>.</w:t>
      </w:r>
      <w:r w:rsidR="006C781C" w:rsidRPr="00517BEF">
        <w:rPr>
          <w:rStyle w:val="EndnoteReference"/>
          <w:rFonts w:cstheme="minorHAnsi"/>
        </w:rPr>
        <w:endnoteReference w:id="34"/>
      </w:r>
      <w:r w:rsidRPr="00517BEF">
        <w:rPr>
          <w:rFonts w:cstheme="minorHAnsi"/>
        </w:rPr>
        <w:t xml:space="preserve"> </w:t>
      </w:r>
      <w:r w:rsidR="004A3DE6" w:rsidRPr="00517BEF">
        <w:rPr>
          <w:rFonts w:cstheme="minorHAnsi"/>
        </w:rPr>
        <w:t>A normal SpO</w:t>
      </w:r>
      <w:r w:rsidR="004A3DE6" w:rsidRPr="00517BEF">
        <w:rPr>
          <w:rFonts w:cstheme="minorHAnsi"/>
          <w:vertAlign w:val="subscript"/>
        </w:rPr>
        <w:t>2</w:t>
      </w:r>
      <w:r w:rsidR="004A3DE6" w:rsidRPr="00517BEF">
        <w:rPr>
          <w:rFonts w:cstheme="minorHAnsi"/>
        </w:rPr>
        <w:t xml:space="preserve"> in the presence of breathlessness may</w:t>
      </w:r>
      <w:r w:rsidR="00125752" w:rsidRPr="00517BEF">
        <w:rPr>
          <w:rFonts w:cstheme="minorHAnsi"/>
        </w:rPr>
        <w:t xml:space="preserve"> or may not </w:t>
      </w:r>
      <w:r w:rsidR="004A3DE6" w:rsidRPr="00517BEF">
        <w:rPr>
          <w:rFonts w:cstheme="minorHAnsi"/>
        </w:rPr>
        <w:t>therefore be misleading. Asking the patient to exercise (for example</w:t>
      </w:r>
      <w:r w:rsidR="00FC735B" w:rsidRPr="00517BEF">
        <w:rPr>
          <w:rFonts w:cstheme="minorHAnsi"/>
        </w:rPr>
        <w:t>,</w:t>
      </w:r>
      <w:r w:rsidR="004A3DE6" w:rsidRPr="00517BEF">
        <w:rPr>
          <w:rFonts w:cstheme="minorHAnsi"/>
        </w:rPr>
        <w:t xml:space="preserve"> a 1</w:t>
      </w:r>
      <w:r w:rsidR="00F51566" w:rsidRPr="00517BEF">
        <w:rPr>
          <w:rFonts w:cstheme="minorHAnsi"/>
        </w:rPr>
        <w:t>-</w:t>
      </w:r>
      <w:r w:rsidR="004A3DE6" w:rsidRPr="00517BEF">
        <w:rPr>
          <w:rFonts w:cstheme="minorHAnsi"/>
        </w:rPr>
        <w:t>minute brisk walk back and forth in their room) followed by re-measurement may demonstrate desaturation in borderline patients and could be reassuring if stable</w:t>
      </w:r>
      <w:r w:rsidR="00126E00" w:rsidRPr="00517BEF">
        <w:rPr>
          <w:rFonts w:cstheme="minorHAnsi"/>
        </w:rPr>
        <w:t>, but this is not certain</w:t>
      </w:r>
      <w:r w:rsidR="004A3DE6" w:rsidRPr="00517BEF">
        <w:rPr>
          <w:rFonts w:cstheme="minorHAnsi"/>
        </w:rPr>
        <w:t>. Respiratory rate measurement when it becomes readily available should be helpful in the interpretation of SpO</w:t>
      </w:r>
      <w:r w:rsidR="004A3DE6" w:rsidRPr="00517BEF">
        <w:rPr>
          <w:rFonts w:cstheme="minorHAnsi"/>
          <w:vertAlign w:val="subscript"/>
        </w:rPr>
        <w:t>2</w:t>
      </w:r>
      <w:r w:rsidR="004A3DE6" w:rsidRPr="00517BEF">
        <w:rPr>
          <w:rFonts w:cstheme="minorHAnsi"/>
        </w:rPr>
        <w:t>.</w:t>
      </w:r>
      <w:r w:rsidR="006C781C" w:rsidRPr="00517BEF">
        <w:rPr>
          <w:rFonts w:cstheme="minorHAnsi"/>
        </w:rPr>
        <w:t xml:space="preserve"> Any implementation therefore needs to be within an evaluative framework which examines impact on workload, utility to clinicians, usability, acceptability to patients and equity of access. In particular, rapid feedback of evaluation findings will be needed to modify and optimise the intervention,</w:t>
      </w:r>
      <w:r w:rsidR="00850D2B" w:rsidRPr="00517BEF">
        <w:rPr>
          <w:rFonts w:cstheme="minorHAnsi"/>
        </w:rPr>
        <w:t xml:space="preserve"> </w:t>
      </w:r>
      <w:r w:rsidR="006C781C" w:rsidRPr="00517BEF">
        <w:rPr>
          <w:rFonts w:cstheme="minorHAnsi"/>
        </w:rPr>
        <w:t>considering</w:t>
      </w:r>
      <w:r w:rsidR="004A3DE6" w:rsidRPr="00517BEF">
        <w:rPr>
          <w:rFonts w:cstheme="minorHAnsi"/>
        </w:rPr>
        <w:t xml:space="preserve"> the value of different components of any intervention, and modify them as required (for example</w:t>
      </w:r>
      <w:r w:rsidR="005D383A" w:rsidRPr="00517BEF">
        <w:rPr>
          <w:rFonts w:cstheme="minorHAnsi"/>
        </w:rPr>
        <w:t>,</w:t>
      </w:r>
      <w:r w:rsidR="004A3DE6" w:rsidRPr="00517BEF">
        <w:rPr>
          <w:rFonts w:cstheme="minorHAnsi"/>
        </w:rPr>
        <w:t xml:space="preserve"> by altering trigger levels for advice, and removing those elements that are not found to be predictive of deterioration or are clinically unhelpful).</w:t>
      </w:r>
    </w:p>
    <w:p w14:paraId="23BED353" w14:textId="77777777" w:rsidR="00643500" w:rsidRPr="00517BEF" w:rsidRDefault="00643500" w:rsidP="00517BEF">
      <w:pPr>
        <w:spacing w:line="276" w:lineRule="auto"/>
        <w:rPr>
          <w:rFonts w:cstheme="minorHAnsi"/>
        </w:rPr>
      </w:pPr>
    </w:p>
    <w:p w14:paraId="7F57B8FB" w14:textId="57EB6122" w:rsidR="00374D5A" w:rsidRPr="00517BEF" w:rsidRDefault="004A3DE6" w:rsidP="00517BEF">
      <w:pPr>
        <w:spacing w:line="276" w:lineRule="auto"/>
        <w:rPr>
          <w:rFonts w:cstheme="minorHAnsi"/>
          <w:i/>
          <w:iCs/>
        </w:rPr>
      </w:pPr>
      <w:r w:rsidRPr="00517BEF">
        <w:rPr>
          <w:rFonts w:cstheme="minorHAnsi"/>
          <w:i/>
          <w:iCs/>
        </w:rPr>
        <w:t>Further research</w:t>
      </w:r>
    </w:p>
    <w:p w14:paraId="63606726" w14:textId="3EF01DE5" w:rsidR="00374D5A" w:rsidRPr="00517BEF" w:rsidRDefault="00374D5A" w:rsidP="00517BEF">
      <w:pPr>
        <w:spacing w:line="276" w:lineRule="auto"/>
        <w:rPr>
          <w:rFonts w:cstheme="minorHAnsi"/>
        </w:rPr>
      </w:pPr>
      <w:proofErr w:type="gramStart"/>
      <w:r w:rsidRPr="00517BEF">
        <w:rPr>
          <w:rFonts w:cstheme="minorHAnsi"/>
        </w:rPr>
        <w:t>In order to</w:t>
      </w:r>
      <w:proofErr w:type="gramEnd"/>
      <w:r w:rsidRPr="00517BEF">
        <w:rPr>
          <w:rFonts w:cstheme="minorHAnsi"/>
        </w:rPr>
        <w:t xml:space="preserve"> maximise the effectiveness of self-isolation but ensure that those who need hospital assessment and treatment are rapidly identified and referred, we </w:t>
      </w:r>
      <w:r w:rsidR="00EE1B62" w:rsidRPr="00517BEF">
        <w:rPr>
          <w:rFonts w:cstheme="minorHAnsi"/>
        </w:rPr>
        <w:t xml:space="preserve">must </w:t>
      </w:r>
      <w:r w:rsidRPr="00517BEF">
        <w:rPr>
          <w:rFonts w:cstheme="minorHAnsi"/>
        </w:rPr>
        <w:t>urgently</w:t>
      </w:r>
      <w:r w:rsidR="00EE1B62" w:rsidRPr="00517BEF">
        <w:rPr>
          <w:rFonts w:cstheme="minorHAnsi"/>
        </w:rPr>
        <w:t xml:space="preserve"> </w:t>
      </w:r>
      <w:r w:rsidRPr="00517BEF">
        <w:rPr>
          <w:rFonts w:cstheme="minorHAnsi"/>
        </w:rPr>
        <w:t>carry out observational studies</w:t>
      </w:r>
      <w:r w:rsidR="003F6F40" w:rsidRPr="00517BEF">
        <w:rPr>
          <w:rFonts w:cstheme="minorHAnsi"/>
        </w:rPr>
        <w:t>.</w:t>
      </w:r>
      <w:r w:rsidRPr="00517BEF">
        <w:rPr>
          <w:rFonts w:cstheme="minorHAnsi"/>
        </w:rPr>
        <w:t xml:space="preserve"> </w:t>
      </w:r>
      <w:r w:rsidR="00EE1B62" w:rsidRPr="00517BEF">
        <w:rPr>
          <w:rFonts w:cstheme="minorHAnsi"/>
        </w:rPr>
        <w:t>We need t</w:t>
      </w:r>
      <w:r w:rsidRPr="00517BEF">
        <w:rPr>
          <w:rFonts w:cstheme="minorHAnsi"/>
        </w:rPr>
        <w:t>o understand the natural history of progression</w:t>
      </w:r>
      <w:r w:rsidR="00126E00" w:rsidRPr="00517BEF">
        <w:rPr>
          <w:rFonts w:cstheme="minorHAnsi"/>
        </w:rPr>
        <w:t>, confirm which types of data are most useful</w:t>
      </w:r>
      <w:r w:rsidRPr="00517BEF">
        <w:rPr>
          <w:rFonts w:cstheme="minorHAnsi"/>
        </w:rPr>
        <w:t xml:space="preserve"> and develop prediction tools to identify </w:t>
      </w:r>
      <w:r w:rsidR="00B57B79" w:rsidRPr="00517BEF">
        <w:rPr>
          <w:rFonts w:cstheme="minorHAnsi"/>
        </w:rPr>
        <w:t xml:space="preserve">reliably </w:t>
      </w:r>
      <w:r w:rsidRPr="00517BEF">
        <w:rPr>
          <w:rFonts w:cstheme="minorHAnsi"/>
        </w:rPr>
        <w:t>those needing escalation of care</w:t>
      </w:r>
      <w:r w:rsidR="00EE1B62" w:rsidRPr="00517BEF">
        <w:rPr>
          <w:rFonts w:cstheme="minorHAnsi"/>
        </w:rPr>
        <w:t>,</w:t>
      </w:r>
      <w:r w:rsidR="00E72376" w:rsidRPr="00517BEF">
        <w:rPr>
          <w:rFonts w:cstheme="minorHAnsi"/>
        </w:rPr>
        <w:t xml:space="preserve"> as well as identify </w:t>
      </w:r>
      <w:r w:rsidR="00B57B79" w:rsidRPr="00517BEF">
        <w:rPr>
          <w:rFonts w:cstheme="minorHAnsi"/>
        </w:rPr>
        <w:t>participants</w:t>
      </w:r>
      <w:r w:rsidR="00E72376" w:rsidRPr="00517BEF">
        <w:rPr>
          <w:rFonts w:cstheme="minorHAnsi"/>
        </w:rPr>
        <w:t xml:space="preserve"> for drug trials</w:t>
      </w:r>
      <w:r w:rsidRPr="00517BEF">
        <w:rPr>
          <w:rFonts w:cstheme="minorHAnsi"/>
        </w:rPr>
        <w:t>. Electronic collection of time-stamped telemonitoring data can facilitate the development of predictive algorithms</w:t>
      </w:r>
      <w:r w:rsidR="0095067E" w:rsidRPr="00517BEF">
        <w:rPr>
          <w:rStyle w:val="EndnoteReference"/>
          <w:rFonts w:cstheme="minorHAnsi"/>
        </w:rPr>
        <w:endnoteReference w:id="35"/>
      </w:r>
      <w:r w:rsidR="00FC735B" w:rsidRPr="00517BEF">
        <w:rPr>
          <w:rFonts w:cstheme="minorHAnsi"/>
        </w:rPr>
        <w:t xml:space="preserve"> </w:t>
      </w:r>
      <w:r w:rsidR="00F20ACB" w:rsidRPr="00517BEF">
        <w:rPr>
          <w:rFonts w:cstheme="minorHAnsi"/>
        </w:rPr>
        <w:t>[</w:t>
      </w:r>
      <w:r w:rsidR="003421B2" w:rsidRPr="00517BEF">
        <w:rPr>
          <w:rFonts w:cstheme="minorHAnsi"/>
        </w:rPr>
        <w:t>15,16</w:t>
      </w:r>
      <w:r w:rsidR="00F20ACB" w:rsidRPr="00517BEF">
        <w:rPr>
          <w:rFonts w:cstheme="minorHAnsi"/>
        </w:rPr>
        <w:t>]</w:t>
      </w:r>
      <w:r w:rsidR="00FC735B" w:rsidRPr="00517BEF">
        <w:rPr>
          <w:rFonts w:cstheme="minorHAnsi"/>
        </w:rPr>
        <w:t>,</w:t>
      </w:r>
      <w:r w:rsidRPr="00517BEF">
        <w:rPr>
          <w:rFonts w:cstheme="minorHAnsi"/>
        </w:rPr>
        <w:t xml:space="preserve"> which</w:t>
      </w:r>
      <w:r w:rsidR="00FC735B" w:rsidRPr="00517BEF">
        <w:rPr>
          <w:rFonts w:cstheme="minorHAnsi"/>
        </w:rPr>
        <w:t>,</w:t>
      </w:r>
      <w:r w:rsidRPr="00517BEF">
        <w:rPr>
          <w:rFonts w:cstheme="minorHAnsi"/>
        </w:rPr>
        <w:t xml:space="preserve"> in turn</w:t>
      </w:r>
      <w:r w:rsidR="00FC735B" w:rsidRPr="00517BEF">
        <w:rPr>
          <w:rFonts w:cstheme="minorHAnsi"/>
        </w:rPr>
        <w:t>,</w:t>
      </w:r>
      <w:r w:rsidRPr="00517BEF">
        <w:rPr>
          <w:rFonts w:cstheme="minorHAnsi"/>
        </w:rPr>
        <w:t xml:space="preserve"> can be used continuously to improve processes, define what helps and what does not, and rapidly devise systems which are implementable at large scale. </w:t>
      </w:r>
    </w:p>
    <w:p w14:paraId="314C7BA1" w14:textId="7AEE7E15" w:rsidR="00F66AC6" w:rsidRPr="00517BEF" w:rsidRDefault="00F66AC6" w:rsidP="00517BEF">
      <w:pPr>
        <w:spacing w:line="276" w:lineRule="auto"/>
        <w:rPr>
          <w:rFonts w:cstheme="minorHAnsi"/>
          <w:i/>
          <w:iCs/>
        </w:rPr>
      </w:pPr>
      <w:r w:rsidRPr="00517BEF">
        <w:rPr>
          <w:rFonts w:cstheme="minorHAnsi"/>
          <w:i/>
          <w:iCs/>
        </w:rPr>
        <w:t>Conclusion</w:t>
      </w:r>
    </w:p>
    <w:p w14:paraId="49909051" w14:textId="77777777" w:rsidR="00217D78" w:rsidRPr="00517BEF" w:rsidRDefault="00643500" w:rsidP="00517BEF">
      <w:pPr>
        <w:spacing w:line="276" w:lineRule="auto"/>
        <w:rPr>
          <w:rFonts w:cstheme="minorHAnsi"/>
        </w:rPr>
      </w:pPr>
      <w:r w:rsidRPr="00517BEF">
        <w:rPr>
          <w:rFonts w:cstheme="minorHAnsi"/>
        </w:rPr>
        <w:t xml:space="preserve">Routine telemonitoring of those at greater risk offers the potential to detect deterioration, and to provide regular support and advice without compromising quarantine and exposing healthcare workers to unnecessary risk. </w:t>
      </w:r>
    </w:p>
    <w:p w14:paraId="13D7EEE8" w14:textId="77777777" w:rsidR="00217D78" w:rsidRPr="00517BEF" w:rsidRDefault="00217D78" w:rsidP="00517BEF">
      <w:pPr>
        <w:spacing w:line="276" w:lineRule="auto"/>
        <w:rPr>
          <w:rFonts w:cstheme="minorHAnsi"/>
        </w:rPr>
      </w:pPr>
    </w:p>
    <w:p w14:paraId="1ECC9B10" w14:textId="49FD41F3" w:rsidR="00BE493B" w:rsidRPr="00517BEF" w:rsidRDefault="00FC4705" w:rsidP="00517BEF">
      <w:pPr>
        <w:spacing w:line="276" w:lineRule="auto"/>
        <w:rPr>
          <w:rFonts w:cstheme="minorHAnsi"/>
        </w:rPr>
      </w:pPr>
      <w:r w:rsidRPr="00517BEF">
        <w:rPr>
          <w:rFonts w:cstheme="minorHAnsi"/>
        </w:rPr>
        <w:t xml:space="preserve">Table </w:t>
      </w:r>
      <w:r w:rsidR="00643500" w:rsidRPr="00517BEF">
        <w:rPr>
          <w:rFonts w:cstheme="minorHAnsi"/>
        </w:rPr>
        <w:t>1</w:t>
      </w:r>
      <w:r w:rsidR="00FC735B" w:rsidRPr="00517BEF">
        <w:rPr>
          <w:rFonts w:cstheme="minorHAnsi"/>
        </w:rPr>
        <w:t>:</w:t>
      </w:r>
      <w:r w:rsidR="00BE493B" w:rsidRPr="00517BEF">
        <w:rPr>
          <w:rFonts w:cstheme="minorHAnsi"/>
        </w:rPr>
        <w:t xml:space="preserve"> Types of </w:t>
      </w:r>
      <w:r w:rsidR="00547DDF" w:rsidRPr="00517BEF">
        <w:rPr>
          <w:rFonts w:cstheme="minorHAnsi"/>
        </w:rPr>
        <w:t>telemonitoring</w:t>
      </w:r>
      <w:r w:rsidR="00BE493B" w:rsidRPr="00517BEF">
        <w:rPr>
          <w:rFonts w:cstheme="minorHAnsi"/>
        </w:rPr>
        <w:t xml:space="preserve"> data </w:t>
      </w:r>
    </w:p>
    <w:p w14:paraId="2A656824" w14:textId="77777777" w:rsidR="00BE493B" w:rsidRDefault="00BE493B" w:rsidP="005E5723">
      <w:pPr>
        <w:spacing w:line="276" w:lineRule="auto"/>
      </w:pPr>
      <w:r>
        <w:rPr>
          <w:noProof/>
          <w:lang w:eastAsia="en-GB"/>
        </w:rPr>
        <mc:AlternateContent>
          <mc:Choice Requires="wps">
            <w:drawing>
              <wp:anchor distT="45720" distB="45720" distL="114300" distR="114300" simplePos="0" relativeHeight="251665408" behindDoc="0" locked="0" layoutInCell="1" allowOverlap="1" wp14:anchorId="1614A17D" wp14:editId="3083FF98">
                <wp:simplePos x="0" y="0"/>
                <wp:positionH relativeFrom="column">
                  <wp:posOffset>323850</wp:posOffset>
                </wp:positionH>
                <wp:positionV relativeFrom="paragraph">
                  <wp:posOffset>25400</wp:posOffset>
                </wp:positionV>
                <wp:extent cx="4562475" cy="2838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38450"/>
                        </a:xfrm>
                        <a:prstGeom prst="rect">
                          <a:avLst/>
                        </a:prstGeom>
                        <a:solidFill>
                          <a:srgbClr val="FFFFFF"/>
                        </a:solidFill>
                        <a:ln w="9525">
                          <a:solidFill>
                            <a:srgbClr val="000000"/>
                          </a:solidFill>
                          <a:miter lim="800000"/>
                          <a:headEnd/>
                          <a:tailEnd/>
                        </a:ln>
                      </wps:spPr>
                      <wps:txbx>
                        <w:txbxContent>
                          <w:p w14:paraId="08A08265" w14:textId="6A2AA187" w:rsidR="00576275" w:rsidRDefault="00576275" w:rsidP="00BE493B">
                            <w:pPr>
                              <w:pStyle w:val="ListParagraph"/>
                              <w:numPr>
                                <w:ilvl w:val="0"/>
                                <w:numId w:val="4"/>
                              </w:numPr>
                            </w:pPr>
                            <w:r>
                              <w:t xml:space="preserve">Regular collection of symptom data: </w:t>
                            </w:r>
                          </w:p>
                          <w:p w14:paraId="10B71484" w14:textId="49825BE8" w:rsidR="00576275" w:rsidRDefault="00576275" w:rsidP="00BE493B">
                            <w:pPr>
                              <w:pStyle w:val="ListParagraph"/>
                              <w:numPr>
                                <w:ilvl w:val="1"/>
                                <w:numId w:val="4"/>
                              </w:numPr>
                            </w:pPr>
                            <w:r>
                              <w:t>Breathlessness – At rest, on minimal activity (walking across room on the flat), and more challenging (stairs, dressing, bathing)</w:t>
                            </w:r>
                          </w:p>
                          <w:p w14:paraId="5A9ACBCA" w14:textId="77777777" w:rsidR="00576275" w:rsidRDefault="00576275" w:rsidP="00BE493B">
                            <w:pPr>
                              <w:pStyle w:val="ListParagraph"/>
                              <w:numPr>
                                <w:ilvl w:val="1"/>
                                <w:numId w:val="4"/>
                              </w:numPr>
                            </w:pPr>
                            <w:r>
                              <w:t>Cough</w:t>
                            </w:r>
                          </w:p>
                          <w:p w14:paraId="7F88FB4A" w14:textId="77777777" w:rsidR="00576275" w:rsidRDefault="00576275" w:rsidP="00BE493B">
                            <w:pPr>
                              <w:pStyle w:val="ListParagraph"/>
                              <w:numPr>
                                <w:ilvl w:val="1"/>
                                <w:numId w:val="4"/>
                              </w:numPr>
                            </w:pPr>
                            <w:r>
                              <w:t>Fever</w:t>
                            </w:r>
                          </w:p>
                          <w:p w14:paraId="451D5033" w14:textId="751D4AC7" w:rsidR="00576275" w:rsidRDefault="00576275" w:rsidP="00BE493B">
                            <w:pPr>
                              <w:pStyle w:val="ListParagraph"/>
                              <w:numPr>
                                <w:ilvl w:val="1"/>
                                <w:numId w:val="4"/>
                              </w:numPr>
                            </w:pPr>
                            <w:r>
                              <w:t>Others which may help characterise the illness (e.g. myalgia, fatigue, taste/smell, rhinorrhoea, diarrhoea, conjunctivitis)</w:t>
                            </w:r>
                          </w:p>
                          <w:p w14:paraId="109A9A5C" w14:textId="0083982E" w:rsidR="00576275" w:rsidRDefault="00576275" w:rsidP="00BE493B">
                            <w:pPr>
                              <w:pStyle w:val="ListParagraph"/>
                              <w:numPr>
                                <w:ilvl w:val="0"/>
                                <w:numId w:val="4"/>
                              </w:numPr>
                            </w:pPr>
                            <w:r>
                              <w:t>Physiological parameters:</w:t>
                            </w:r>
                          </w:p>
                          <w:p w14:paraId="16206922" w14:textId="2A9924F9" w:rsidR="00576275" w:rsidRDefault="00576275" w:rsidP="00BE493B">
                            <w:pPr>
                              <w:pStyle w:val="ListParagraph"/>
                              <w:numPr>
                                <w:ilvl w:val="1"/>
                                <w:numId w:val="4"/>
                              </w:numPr>
                            </w:pPr>
                            <w:r>
                              <w:rPr>
                                <w:i/>
                                <w:iCs/>
                              </w:rPr>
                              <w:t>Using s</w:t>
                            </w:r>
                            <w:r w:rsidRPr="0099040D">
                              <w:rPr>
                                <w:i/>
                                <w:iCs/>
                              </w:rPr>
                              <w:t xml:space="preserve">imple/commonly available devices – </w:t>
                            </w:r>
                            <w:r>
                              <w:t>pulse rate, SpO</w:t>
                            </w:r>
                            <w:r w:rsidRPr="00713992">
                              <w:rPr>
                                <w:vertAlign w:val="subscript"/>
                              </w:rPr>
                              <w:t>2</w:t>
                            </w:r>
                            <w:r>
                              <w:t xml:space="preserve"> (after 20 minutes seated and after 1 minute walking</w:t>
                            </w:r>
                            <w:r w:rsidR="008473E8">
                              <w:t>/sit to stand</w:t>
                            </w:r>
                            <w:r>
                              <w:t xml:space="preserve">), temperature </w:t>
                            </w:r>
                          </w:p>
                          <w:p w14:paraId="746DE92F" w14:textId="5296BEBC" w:rsidR="00576275" w:rsidRDefault="00576275" w:rsidP="00BE493B">
                            <w:pPr>
                              <w:pStyle w:val="ListParagraph"/>
                              <w:numPr>
                                <w:ilvl w:val="1"/>
                                <w:numId w:val="4"/>
                              </w:numPr>
                            </w:pPr>
                            <w:r>
                              <w:rPr>
                                <w:i/>
                                <w:iCs/>
                              </w:rPr>
                              <w:t>Less</w:t>
                            </w:r>
                            <w:r w:rsidRPr="0099040D">
                              <w:rPr>
                                <w:i/>
                                <w:iCs/>
                              </w:rPr>
                              <w:t xml:space="preserve"> readily available</w:t>
                            </w:r>
                            <w:r>
                              <w:rPr>
                                <w:i/>
                                <w:iCs/>
                              </w:rPr>
                              <w:t xml:space="preserve"> -</w:t>
                            </w:r>
                            <w:r w:rsidRPr="0099040D">
                              <w:rPr>
                                <w:i/>
                                <w:iCs/>
                              </w:rPr>
                              <w:t xml:space="preserve"> </w:t>
                            </w:r>
                            <w:r>
                              <w:t xml:space="preserve">respiratory rate, cardiac rhythm </w:t>
                            </w:r>
                          </w:p>
                          <w:p w14:paraId="379793E1" w14:textId="77777777" w:rsidR="00576275" w:rsidRDefault="00576275" w:rsidP="00BE4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4A17D" id="_x0000_t202" coordsize="21600,21600" o:spt="202" path="m,l,21600r21600,l21600,xe">
                <v:stroke joinstyle="miter"/>
                <v:path gradientshapeok="t" o:connecttype="rect"/>
              </v:shapetype>
              <v:shape id="Text Box 2" o:spid="_x0000_s1026" type="#_x0000_t202" style="position:absolute;margin-left:25.5pt;margin-top:2pt;width:359.25pt;height:2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">
                <v:textbox>
                  <w:txbxContent>
                    <w:p w14:paraId="08A08265" w14:textId="6A2AA187" w:rsidR="00576275" w:rsidRDefault="00576275" w:rsidP="00BE493B">
                      <w:pPr>
                        <w:pStyle w:val="ListParagraph"/>
                        <w:numPr>
                          <w:ilvl w:val="0"/>
                          <w:numId w:val="4"/>
                        </w:numPr>
                      </w:pPr>
                      <w:r>
                        <w:t xml:space="preserve">Regular collection of symptom data: </w:t>
                      </w:r>
                    </w:p>
                    <w:p w14:paraId="10B71484" w14:textId="49825BE8" w:rsidR="00576275" w:rsidRDefault="00576275" w:rsidP="00BE493B">
                      <w:pPr>
                        <w:pStyle w:val="ListParagraph"/>
                        <w:numPr>
                          <w:ilvl w:val="1"/>
                          <w:numId w:val="4"/>
                        </w:numPr>
                      </w:pPr>
                      <w:r>
                        <w:t>Breathlessness – At rest, on minimal activity (walking across room on the flat), and more challenging (stairs, dressing, bathing)</w:t>
                      </w:r>
                    </w:p>
                    <w:p w14:paraId="5A9ACBCA" w14:textId="77777777" w:rsidR="00576275" w:rsidRDefault="00576275" w:rsidP="00BE493B">
                      <w:pPr>
                        <w:pStyle w:val="ListParagraph"/>
                        <w:numPr>
                          <w:ilvl w:val="1"/>
                          <w:numId w:val="4"/>
                        </w:numPr>
                      </w:pPr>
                      <w:r>
                        <w:t>Cough</w:t>
                      </w:r>
                    </w:p>
                    <w:p w14:paraId="7F88FB4A" w14:textId="77777777" w:rsidR="00576275" w:rsidRDefault="00576275" w:rsidP="00BE493B">
                      <w:pPr>
                        <w:pStyle w:val="ListParagraph"/>
                        <w:numPr>
                          <w:ilvl w:val="1"/>
                          <w:numId w:val="4"/>
                        </w:numPr>
                      </w:pPr>
                      <w:r>
                        <w:t>Fever</w:t>
                      </w:r>
                    </w:p>
                    <w:p w14:paraId="451D5033" w14:textId="751D4AC7" w:rsidR="00576275" w:rsidRDefault="00576275" w:rsidP="00BE493B">
                      <w:pPr>
                        <w:pStyle w:val="ListParagraph"/>
                        <w:numPr>
                          <w:ilvl w:val="1"/>
                          <w:numId w:val="4"/>
                        </w:numPr>
                      </w:pPr>
                      <w:r>
                        <w:t>Others which may help characterise the illness (e.g. myalgia, fatigue, taste/smell, rhinorrhoea, diarrhoea, conjunctivitis)</w:t>
                      </w:r>
                    </w:p>
                    <w:p w14:paraId="109A9A5C" w14:textId="0083982E" w:rsidR="00576275" w:rsidRDefault="00576275" w:rsidP="00BE493B">
                      <w:pPr>
                        <w:pStyle w:val="ListParagraph"/>
                        <w:numPr>
                          <w:ilvl w:val="0"/>
                          <w:numId w:val="4"/>
                        </w:numPr>
                      </w:pPr>
                      <w:r>
                        <w:t>Physiological parameters:</w:t>
                      </w:r>
                    </w:p>
                    <w:p w14:paraId="16206922" w14:textId="2A9924F9" w:rsidR="00576275" w:rsidRDefault="00576275" w:rsidP="00BE493B">
                      <w:pPr>
                        <w:pStyle w:val="ListParagraph"/>
                        <w:numPr>
                          <w:ilvl w:val="1"/>
                          <w:numId w:val="4"/>
                        </w:numPr>
                      </w:pPr>
                      <w:r>
                        <w:rPr>
                          <w:i/>
                          <w:iCs/>
                        </w:rPr>
                        <w:t>Using s</w:t>
                      </w:r>
                      <w:r w:rsidRPr="0099040D">
                        <w:rPr>
                          <w:i/>
                          <w:iCs/>
                        </w:rPr>
                        <w:t xml:space="preserve">imple/commonly available devices – </w:t>
                      </w:r>
                      <w:r>
                        <w:t>pulse rate, SpO</w:t>
                      </w:r>
                      <w:r w:rsidRPr="00713992">
                        <w:rPr>
                          <w:vertAlign w:val="subscript"/>
                        </w:rPr>
                        <w:t>2</w:t>
                      </w:r>
                      <w:r>
                        <w:t xml:space="preserve"> (after 20 minutes seated and after 1 minute walking</w:t>
                      </w:r>
                      <w:r w:rsidR="008473E8">
                        <w:t>/sit to stand</w:t>
                      </w:r>
                      <w:r>
                        <w:t xml:space="preserve">), temperature </w:t>
                      </w:r>
                    </w:p>
                    <w:p w14:paraId="746DE92F" w14:textId="5296BEBC" w:rsidR="00576275" w:rsidRDefault="00576275" w:rsidP="00BE493B">
                      <w:pPr>
                        <w:pStyle w:val="ListParagraph"/>
                        <w:numPr>
                          <w:ilvl w:val="1"/>
                          <w:numId w:val="4"/>
                        </w:numPr>
                      </w:pPr>
                      <w:r>
                        <w:rPr>
                          <w:i/>
                          <w:iCs/>
                        </w:rPr>
                        <w:t>Less</w:t>
                      </w:r>
                      <w:r w:rsidRPr="0099040D">
                        <w:rPr>
                          <w:i/>
                          <w:iCs/>
                        </w:rPr>
                        <w:t xml:space="preserve"> readily available</w:t>
                      </w:r>
                      <w:r>
                        <w:rPr>
                          <w:i/>
                          <w:iCs/>
                        </w:rPr>
                        <w:t xml:space="preserve"> -</w:t>
                      </w:r>
                      <w:r w:rsidRPr="0099040D">
                        <w:rPr>
                          <w:i/>
                          <w:iCs/>
                        </w:rPr>
                        <w:t xml:space="preserve"> </w:t>
                      </w:r>
                      <w:r>
                        <w:t xml:space="preserve">respiratory rate, cardiac rhythm </w:t>
                      </w:r>
                    </w:p>
                    <w:p w14:paraId="379793E1" w14:textId="77777777" w:rsidR="00576275" w:rsidRDefault="00576275" w:rsidP="00BE493B"/>
                  </w:txbxContent>
                </v:textbox>
                <w10:wrap type="square"/>
              </v:shape>
            </w:pict>
          </mc:Fallback>
        </mc:AlternateContent>
      </w:r>
    </w:p>
    <w:p w14:paraId="0F58F0D1" w14:textId="77777777" w:rsidR="00BE493B" w:rsidRDefault="00BE493B" w:rsidP="005E5723">
      <w:pPr>
        <w:spacing w:line="276" w:lineRule="auto"/>
      </w:pPr>
    </w:p>
    <w:p w14:paraId="621B3D31" w14:textId="77777777" w:rsidR="00BE493B" w:rsidRDefault="00BE493B" w:rsidP="005E5723">
      <w:pPr>
        <w:spacing w:line="276" w:lineRule="auto"/>
      </w:pPr>
    </w:p>
    <w:p w14:paraId="4A0774A4" w14:textId="77777777" w:rsidR="00BE493B" w:rsidRDefault="00BE493B" w:rsidP="005E5723">
      <w:pPr>
        <w:spacing w:line="276" w:lineRule="auto"/>
      </w:pPr>
    </w:p>
    <w:p w14:paraId="1B128A60" w14:textId="77777777" w:rsidR="00BE493B" w:rsidRDefault="00BE493B" w:rsidP="005E5723">
      <w:pPr>
        <w:spacing w:line="276" w:lineRule="auto"/>
      </w:pPr>
    </w:p>
    <w:p w14:paraId="315353B3" w14:textId="77777777" w:rsidR="00BE493B" w:rsidRDefault="00BE493B" w:rsidP="005E5723">
      <w:pPr>
        <w:spacing w:line="276" w:lineRule="auto"/>
      </w:pPr>
    </w:p>
    <w:p w14:paraId="64BED729" w14:textId="77777777" w:rsidR="00BE493B" w:rsidRDefault="00BE493B" w:rsidP="005E5723">
      <w:pPr>
        <w:spacing w:line="276" w:lineRule="auto"/>
      </w:pPr>
    </w:p>
    <w:p w14:paraId="085137A2" w14:textId="77777777" w:rsidR="00BE493B" w:rsidRDefault="00BE493B" w:rsidP="005E5723">
      <w:pPr>
        <w:spacing w:line="276" w:lineRule="auto"/>
      </w:pPr>
    </w:p>
    <w:p w14:paraId="2ECFFF5E" w14:textId="77777777" w:rsidR="00BE493B" w:rsidRDefault="00BE493B" w:rsidP="005E5723">
      <w:pPr>
        <w:spacing w:line="276" w:lineRule="auto"/>
      </w:pPr>
    </w:p>
    <w:p w14:paraId="7C8497DB" w14:textId="77777777" w:rsidR="00BE493B" w:rsidRDefault="00BE493B" w:rsidP="005E5723">
      <w:pPr>
        <w:spacing w:line="276" w:lineRule="auto"/>
      </w:pPr>
    </w:p>
    <w:p w14:paraId="05C29D2E" w14:textId="77777777" w:rsidR="00BE493B" w:rsidRDefault="00BE493B" w:rsidP="005E5723">
      <w:pPr>
        <w:spacing w:line="276" w:lineRule="auto"/>
      </w:pPr>
    </w:p>
    <w:p w14:paraId="70066899" w14:textId="415A6E58" w:rsidR="006577B3" w:rsidRDefault="00270A36" w:rsidP="00241397">
      <w:pPr>
        <w:spacing w:before="120" w:after="120" w:line="276" w:lineRule="auto"/>
        <w:rPr>
          <w:noProof/>
          <w:lang w:eastAsia="en-GB"/>
        </w:rPr>
      </w:pPr>
      <w:r>
        <w:br w:type="page"/>
      </w:r>
      <w:r w:rsidR="00FC4705">
        <w:rPr>
          <w:i/>
          <w:iCs/>
          <w:sz w:val="21"/>
          <w:szCs w:val="21"/>
        </w:rPr>
        <w:t>Figure 1</w:t>
      </w:r>
      <w:r w:rsidR="00FC735B">
        <w:rPr>
          <w:i/>
          <w:iCs/>
          <w:sz w:val="21"/>
          <w:szCs w:val="21"/>
        </w:rPr>
        <w:t>:</w:t>
      </w:r>
      <w:r w:rsidR="005012E3">
        <w:rPr>
          <w:i/>
          <w:iCs/>
          <w:sz w:val="21"/>
          <w:szCs w:val="21"/>
        </w:rPr>
        <w:t xml:space="preserve"> Proposed Scottish t</w:t>
      </w:r>
      <w:r w:rsidR="007F1A95" w:rsidRPr="000F1984">
        <w:rPr>
          <w:i/>
          <w:iCs/>
          <w:sz w:val="21"/>
          <w:szCs w:val="21"/>
        </w:rPr>
        <w:t xml:space="preserve">elemonitoring </w:t>
      </w:r>
      <w:r w:rsidR="005012E3">
        <w:rPr>
          <w:i/>
          <w:iCs/>
          <w:sz w:val="21"/>
          <w:szCs w:val="21"/>
        </w:rPr>
        <w:t xml:space="preserve">system </w:t>
      </w:r>
      <w:r w:rsidR="007F1A95" w:rsidRPr="000F1984">
        <w:rPr>
          <w:i/>
          <w:iCs/>
          <w:sz w:val="21"/>
          <w:szCs w:val="21"/>
        </w:rPr>
        <w:t>for COVID-19</w:t>
      </w:r>
      <w:r w:rsidR="00FC735B">
        <w:rPr>
          <w:bCs/>
          <w:i/>
          <w:iCs/>
          <w:sz w:val="21"/>
          <w:szCs w:val="21"/>
        </w:rPr>
        <w:t>.</w:t>
      </w:r>
      <w:r w:rsidR="00241397" w:rsidRPr="000F1984" w:rsidDel="00241397">
        <w:rPr>
          <w:i/>
          <w:iCs/>
          <w:sz w:val="21"/>
          <w:szCs w:val="21"/>
        </w:rPr>
        <w:t xml:space="preserve"> </w:t>
      </w:r>
      <w:bookmarkEnd w:id="9"/>
    </w:p>
    <w:p w14:paraId="34ED55BC" w14:textId="4547FFF5" w:rsidR="00241397" w:rsidRPr="006C3CBE" w:rsidRDefault="006577B3" w:rsidP="00241397">
      <w:pPr>
        <w:spacing w:before="120" w:after="120" w:line="276" w:lineRule="auto"/>
        <w:rPr>
          <w:sz w:val="20"/>
          <w:szCs w:val="20"/>
        </w:rPr>
      </w:pPr>
      <w:r w:rsidRPr="006577B3">
        <w:rPr>
          <w:i/>
          <w:noProof/>
          <w:sz w:val="20"/>
          <w:szCs w:val="20"/>
        </w:rPr>
        <w:drawing>
          <wp:inline distT="0" distB="0" distL="0" distR="0" wp14:anchorId="0F55581F" wp14:editId="6BDB913E">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r w:rsidR="00241397" w:rsidRPr="006C3CBE">
        <w:rPr>
          <w:i/>
          <w:sz w:val="20"/>
          <w:szCs w:val="20"/>
        </w:rPr>
        <w:t>Usability</w:t>
      </w:r>
      <w:r w:rsidR="00241397" w:rsidRPr="006C3CBE">
        <w:rPr>
          <w:sz w:val="20"/>
          <w:szCs w:val="20"/>
        </w:rPr>
        <w:t xml:space="preserve">: The key principle </w:t>
      </w:r>
      <w:r w:rsidR="00241397">
        <w:rPr>
          <w:sz w:val="20"/>
          <w:szCs w:val="20"/>
        </w:rPr>
        <w:t xml:space="preserve">of the Scottish system </w:t>
      </w:r>
      <w:r w:rsidR="00241397" w:rsidRPr="006C3CBE">
        <w:rPr>
          <w:sz w:val="20"/>
          <w:szCs w:val="20"/>
        </w:rPr>
        <w:t xml:space="preserve">is that telemonitoring has to be simple enough that it maximises the proportion of people at risk who can use </w:t>
      </w:r>
      <w:proofErr w:type="gramStart"/>
      <w:r w:rsidR="00241397" w:rsidRPr="006C3CBE">
        <w:rPr>
          <w:sz w:val="20"/>
          <w:szCs w:val="20"/>
        </w:rPr>
        <w:t>it, and</w:t>
      </w:r>
      <w:proofErr w:type="gramEnd"/>
      <w:r w:rsidR="00241397" w:rsidRPr="006C3CBE">
        <w:rPr>
          <w:sz w:val="20"/>
          <w:szCs w:val="20"/>
        </w:rPr>
        <w:t xml:space="preserve"> can be deployed with minimal training. Suspected COVID patients attending an assessment centre, who are to be discharged home, can be enrolled in the telemonitoring system, given a pack with equipment, and information on its use. Patients are advised that telemonitoring is just an aid and that any significant symptom or oximetry deterioration at any time should prompt an immediate contact for advice rather than waiting for the next routine request for data. </w:t>
      </w:r>
      <w:r w:rsidR="005012E3">
        <w:rPr>
          <w:sz w:val="20"/>
          <w:szCs w:val="20"/>
        </w:rPr>
        <w:t>At least once</w:t>
      </w:r>
      <w:r w:rsidR="00241397" w:rsidRPr="006C3CBE">
        <w:rPr>
          <w:sz w:val="20"/>
          <w:szCs w:val="20"/>
        </w:rPr>
        <w:t xml:space="preserve"> daily, records of active patients are scanned to ensure data is being sent and that appropriate action has been taken by the patient. At the end of a fortnight patients are asked to return the equipment, unless still symptomatic when th</w:t>
      </w:r>
      <w:r w:rsidR="0071149B">
        <w:rPr>
          <w:sz w:val="20"/>
          <w:szCs w:val="20"/>
        </w:rPr>
        <w:t>e</w:t>
      </w:r>
      <w:r w:rsidR="00241397" w:rsidRPr="006C3CBE">
        <w:rPr>
          <w:sz w:val="20"/>
          <w:szCs w:val="20"/>
        </w:rPr>
        <w:t xml:space="preserve"> observation period is extended.</w:t>
      </w:r>
    </w:p>
    <w:p w14:paraId="0FFECB6A" w14:textId="77777777" w:rsidR="00241397" w:rsidRPr="006C3CBE" w:rsidRDefault="00241397" w:rsidP="00241397">
      <w:pPr>
        <w:spacing w:after="120" w:line="276" w:lineRule="auto"/>
        <w:rPr>
          <w:sz w:val="20"/>
          <w:szCs w:val="20"/>
        </w:rPr>
      </w:pPr>
      <w:r w:rsidRPr="006C3CBE">
        <w:rPr>
          <w:i/>
          <w:sz w:val="20"/>
          <w:szCs w:val="20"/>
        </w:rPr>
        <w:t>Data collection</w:t>
      </w:r>
      <w:r w:rsidRPr="006C3CBE">
        <w:rPr>
          <w:sz w:val="20"/>
          <w:szCs w:val="20"/>
        </w:rPr>
        <w:t xml:space="preserve">: A daily symptom diary is collected, covering change in breathlessness from the day before, current severity of breathlessness, fever, cough, and other potentially relevant symptoms. Patients are asked to record their temperature and pulse </w:t>
      </w:r>
      <w:proofErr w:type="spellStart"/>
      <w:r w:rsidRPr="006C3CBE">
        <w:rPr>
          <w:sz w:val="20"/>
          <w:szCs w:val="20"/>
        </w:rPr>
        <w:t>oximetery</w:t>
      </w:r>
      <w:proofErr w:type="spellEnd"/>
      <w:r w:rsidRPr="006C3CBE">
        <w:rPr>
          <w:sz w:val="20"/>
          <w:szCs w:val="20"/>
        </w:rPr>
        <w:t xml:space="preserve"> twice daily, with pulse </w:t>
      </w:r>
      <w:proofErr w:type="spellStart"/>
      <w:r w:rsidRPr="006C3CBE">
        <w:rPr>
          <w:sz w:val="20"/>
          <w:szCs w:val="20"/>
        </w:rPr>
        <w:t>oximetery</w:t>
      </w:r>
      <w:proofErr w:type="spellEnd"/>
      <w:r w:rsidRPr="006C3CBE">
        <w:rPr>
          <w:sz w:val="20"/>
          <w:szCs w:val="20"/>
        </w:rPr>
        <w:t xml:space="preserve"> readings at both rest (after 20 minutes seated) and after walking on the flat for one minute. </w:t>
      </w:r>
    </w:p>
    <w:p w14:paraId="100BCAC3" w14:textId="09D09DF2" w:rsidR="00FE1C11" w:rsidRDefault="00241397" w:rsidP="00FE1C11">
      <w:pPr>
        <w:spacing w:after="120" w:line="276" w:lineRule="auto"/>
        <w:rPr>
          <w:sz w:val="20"/>
          <w:szCs w:val="20"/>
        </w:rPr>
      </w:pPr>
      <w:r w:rsidRPr="006C3CBE">
        <w:rPr>
          <w:i/>
          <w:sz w:val="20"/>
          <w:szCs w:val="20"/>
        </w:rPr>
        <w:t>Device and data transmission</w:t>
      </w:r>
      <w:r w:rsidRPr="006C3CBE">
        <w:rPr>
          <w:sz w:val="20"/>
          <w:szCs w:val="20"/>
        </w:rPr>
        <w:t xml:space="preserve">: The Scottish system uses commercially available pulse oximeters, and </w:t>
      </w:r>
      <w:r w:rsidR="005012E3">
        <w:rPr>
          <w:sz w:val="20"/>
          <w:szCs w:val="20"/>
        </w:rPr>
        <w:t xml:space="preserve">a telemonitoring platform which will work by App, internet, SMS text or touch tone phone </w:t>
      </w:r>
      <w:r w:rsidRPr="006C3CBE">
        <w:rPr>
          <w:sz w:val="20"/>
          <w:szCs w:val="20"/>
        </w:rPr>
        <w:t>[1</w:t>
      </w:r>
      <w:r w:rsidR="00180905">
        <w:rPr>
          <w:sz w:val="20"/>
          <w:szCs w:val="20"/>
        </w:rPr>
        <w:t>4</w:t>
      </w:r>
      <w:r w:rsidRPr="006C3CBE">
        <w:rPr>
          <w:sz w:val="20"/>
          <w:szCs w:val="20"/>
        </w:rPr>
        <w:t>]</w:t>
      </w:r>
      <w:r w:rsidRPr="006C3CBE">
        <w:rPr>
          <w:sz w:val="20"/>
          <w:szCs w:val="20"/>
          <w:vertAlign w:val="superscript"/>
        </w:rPr>
        <w:t xml:space="preserve"> </w:t>
      </w:r>
      <w:r w:rsidRPr="006C3CBE">
        <w:rPr>
          <w:sz w:val="20"/>
          <w:szCs w:val="20"/>
        </w:rPr>
        <w:t xml:space="preserve">and which is configured for secure data delivery to NHS systems. Patients are texted reminders to text symptom diaries and temperature/pulse oximetry data back to a central server which collates a report for the clinical team. Patients whose symptoms or pulse oximetry </w:t>
      </w:r>
      <w:r w:rsidR="0071149B">
        <w:rPr>
          <w:sz w:val="20"/>
          <w:szCs w:val="20"/>
        </w:rPr>
        <w:t xml:space="preserve">data </w:t>
      </w:r>
      <w:r w:rsidRPr="006C3CBE">
        <w:rPr>
          <w:sz w:val="20"/>
          <w:szCs w:val="20"/>
        </w:rPr>
        <w:t>suggest deterioration (e.g. significantly increased breathlessness</w:t>
      </w:r>
      <w:r w:rsidR="006577B3">
        <w:rPr>
          <w:sz w:val="20"/>
          <w:szCs w:val="20"/>
        </w:rPr>
        <w:t xml:space="preserve"> at rest</w:t>
      </w:r>
      <w:r w:rsidRPr="006C3CBE">
        <w:rPr>
          <w:sz w:val="20"/>
          <w:szCs w:val="20"/>
        </w:rPr>
        <w:t>, SpO</w:t>
      </w:r>
      <w:r w:rsidRPr="006C3CBE">
        <w:rPr>
          <w:sz w:val="20"/>
          <w:szCs w:val="20"/>
          <w:vertAlign w:val="subscript"/>
        </w:rPr>
        <w:t>2</w:t>
      </w:r>
      <w:r w:rsidRPr="006C3CBE">
        <w:rPr>
          <w:sz w:val="20"/>
          <w:szCs w:val="20"/>
        </w:rPr>
        <w:t xml:space="preserve"> &lt;94% at rest or following minimal exercise in a previously well person</w:t>
      </w:r>
      <w:r w:rsidR="006577B3">
        <w:rPr>
          <w:sz w:val="20"/>
          <w:szCs w:val="20"/>
        </w:rPr>
        <w:t xml:space="preserve"> are advised to phone 999. Borderline oxygen saturation (94 or 95) which is lower than the previous recorded reading prompts a message to telephone for advice as does a </w:t>
      </w:r>
      <w:r w:rsidRPr="006C3CBE">
        <w:rPr>
          <w:sz w:val="20"/>
          <w:szCs w:val="20"/>
        </w:rPr>
        <w:t>resting pulse rate &gt;1</w:t>
      </w:r>
      <w:r w:rsidR="005012E3">
        <w:rPr>
          <w:sz w:val="20"/>
          <w:szCs w:val="20"/>
        </w:rPr>
        <w:t>00</w:t>
      </w:r>
      <w:r w:rsidR="006577B3">
        <w:rPr>
          <w:sz w:val="20"/>
          <w:szCs w:val="20"/>
        </w:rPr>
        <w:t xml:space="preserve"> </w:t>
      </w:r>
      <w:r w:rsidRPr="006C3CBE">
        <w:rPr>
          <w:sz w:val="20"/>
          <w:szCs w:val="20"/>
        </w:rPr>
        <w:t>beats per minute</w:t>
      </w:r>
      <w:r w:rsidR="006577B3">
        <w:rPr>
          <w:sz w:val="20"/>
          <w:szCs w:val="20"/>
        </w:rPr>
        <w:t>, fever of &gt;38.0 for 5 consecutive days</w:t>
      </w:r>
      <w:r w:rsidR="006577B3" w:rsidRPr="006577B3">
        <w:rPr>
          <w:sz w:val="20"/>
          <w:szCs w:val="20"/>
        </w:rPr>
        <w:t xml:space="preserve"> </w:t>
      </w:r>
      <w:r w:rsidR="006577B3">
        <w:rPr>
          <w:sz w:val="20"/>
          <w:szCs w:val="20"/>
        </w:rPr>
        <w:t>or any fever of &gt;38.5.</w:t>
      </w:r>
      <w:r w:rsidRPr="006C3CBE">
        <w:rPr>
          <w:sz w:val="20"/>
          <w:szCs w:val="20"/>
        </w:rPr>
        <w:t xml:space="preserve"> </w:t>
      </w:r>
    </w:p>
    <w:p w14:paraId="23481299" w14:textId="77777777" w:rsidR="00FE1C11" w:rsidRDefault="00FE1C11">
      <w:pPr>
        <w:rPr>
          <w:sz w:val="20"/>
          <w:szCs w:val="20"/>
        </w:rPr>
      </w:pPr>
      <w:r>
        <w:rPr>
          <w:sz w:val="20"/>
          <w:szCs w:val="20"/>
        </w:rPr>
        <w:br w:type="page"/>
      </w:r>
    </w:p>
    <w:p w14:paraId="242A677B" w14:textId="77777777" w:rsidR="00FE1C11" w:rsidRDefault="00FE1C11" w:rsidP="00FE1C11">
      <w:pPr>
        <w:spacing w:after="120" w:line="276" w:lineRule="auto"/>
        <w:rPr>
          <w:i/>
          <w:iCs/>
        </w:rPr>
      </w:pPr>
    </w:p>
    <w:p w14:paraId="1B0B0DDC" w14:textId="77777777" w:rsidR="00FE1C11" w:rsidRPr="000C5810" w:rsidRDefault="00FE1C11" w:rsidP="00FE1C11">
      <w:pPr>
        <w:rPr>
          <w:b/>
          <w:bCs/>
        </w:rPr>
      </w:pPr>
      <w:r w:rsidRPr="000C5810">
        <w:rPr>
          <w:b/>
          <w:bCs/>
        </w:rPr>
        <w:t xml:space="preserve">The potential for remote monitoring of patients discharged from hospital with COVID-19 </w:t>
      </w:r>
    </w:p>
    <w:p w14:paraId="121F5F75" w14:textId="77777777" w:rsidR="00FE1C11" w:rsidRDefault="00FE1C11" w:rsidP="00FE1C11"/>
    <w:p w14:paraId="589DB743" w14:textId="77777777" w:rsidR="00FE1C11" w:rsidRDefault="00FE1C11" w:rsidP="00FE1C11">
      <w:r>
        <w:t xml:space="preserve">Early discharge from hospital for COVID patients can free up valuable beds both for new COVID sufferers </w:t>
      </w:r>
      <w:proofErr w:type="gramStart"/>
      <w:r>
        <w:t>and also</w:t>
      </w:r>
      <w:proofErr w:type="gramEnd"/>
      <w:r>
        <w:t xml:space="preserve"> to allow hospitals to get back to normal in treating non-COVID patients. However, increasingly it is being recognised that patients discharged from hospital, having been diagnosed and treated for COVID-19, have the potential to subsequently deteriorate and require re-admission or die. A rapid literature review has found 6 papers which explored the characteristics of patients who were subsequently readmitted to hospital. These papers reflect the experience from early in the pandemic when less was known about effective treatment of COVID-19.  Three papers are from the USA</w:t>
      </w:r>
      <w:r>
        <w:rPr>
          <w:rStyle w:val="EndnoteReference"/>
        </w:rPr>
        <w:endnoteReference w:id="36"/>
      </w:r>
      <w:r>
        <w:rPr>
          <w:vertAlign w:val="superscript"/>
        </w:rPr>
        <w:t>,</w:t>
      </w:r>
      <w:r>
        <w:rPr>
          <w:rStyle w:val="EndnoteReference"/>
        </w:rPr>
        <w:endnoteReference w:id="37"/>
      </w:r>
      <w:r>
        <w:rPr>
          <w:vertAlign w:val="superscript"/>
        </w:rPr>
        <w:t>,</w:t>
      </w:r>
      <w:r>
        <w:rPr>
          <w:rStyle w:val="EndnoteReference"/>
        </w:rPr>
        <w:endnoteReference w:id="38"/>
      </w:r>
      <w:r>
        <w:t xml:space="preserve">  and one each from Spain</w:t>
      </w:r>
      <w:r>
        <w:rPr>
          <w:rStyle w:val="EndnoteReference"/>
        </w:rPr>
        <w:endnoteReference w:id="39"/>
      </w:r>
      <w:r>
        <w:t>, England</w:t>
      </w:r>
      <w:r>
        <w:rPr>
          <w:rStyle w:val="EndnoteReference"/>
        </w:rPr>
        <w:endnoteReference w:id="40"/>
      </w:r>
      <w:r>
        <w:t xml:space="preserve"> and Korea</w:t>
      </w:r>
      <w:r>
        <w:rPr>
          <w:rStyle w:val="EndnoteReference"/>
        </w:rPr>
        <w:endnoteReference w:id="41"/>
      </w:r>
      <w:r>
        <w:t>.</w:t>
      </w:r>
    </w:p>
    <w:p w14:paraId="358C622D" w14:textId="77777777" w:rsidR="00FE1C11" w:rsidRDefault="00FE1C11" w:rsidP="00FE1C11">
      <w:r>
        <w:t xml:space="preserve">Readmission rates varied from 3.6% in New York to 19.9% among US veterans (see table 1).  This variation may reflect admission and discharge policies in particular institutions and the demography of their patients (for example, hospitals in Korea admitted most people with COVID almost regardless of symptoms, the US veterans has a largely elderly population). </w:t>
      </w:r>
    </w:p>
    <w:p w14:paraId="659F3435" w14:textId="77777777" w:rsidR="00FE1C11" w:rsidRDefault="00FE1C11" w:rsidP="00FE1C11">
      <w:r>
        <w:t xml:space="preserve">Across all 6 papers the median number of days to readmission varied between 4.5 and 10 days. The primary reason for re-admission was less clear but mainly due to respiratory complications (COVID or secondary infection), pulmonary embolus and heart failure.  In the papers that reported it, oxygen saturation was reduced in those who were readmitted. </w:t>
      </w:r>
    </w:p>
    <w:p w14:paraId="27A2C99F" w14:textId="77777777" w:rsidR="00FE1C11" w:rsidRDefault="00FE1C11" w:rsidP="00FE1C11">
      <w:pPr>
        <w:rPr>
          <w:rFonts w:cstheme="minorHAnsi"/>
        </w:rPr>
      </w:pPr>
      <w:r>
        <w:t xml:space="preserve">Predictors of readmission varied in each series, but usually </w:t>
      </w:r>
      <w:proofErr w:type="gramStart"/>
      <w:r>
        <w:t>included;</w:t>
      </w:r>
      <w:proofErr w:type="gramEnd"/>
      <w:r>
        <w:t xml:space="preserve"> age &gt;65, male sex, shorter hospital stay with fewer investigations, presence of co-morbidities (</w:t>
      </w:r>
      <w:proofErr w:type="spellStart"/>
      <w:r>
        <w:t>Charlson</w:t>
      </w:r>
      <w:proofErr w:type="spellEnd"/>
      <w:r>
        <w:t xml:space="preserve"> comorbidity index (</w:t>
      </w:r>
      <w:r w:rsidRPr="00790717">
        <w:t>CCI</w:t>
      </w:r>
      <w:r>
        <w:t>)</w:t>
      </w:r>
      <w:r w:rsidRPr="00790717">
        <w:t xml:space="preserve"> score </w:t>
      </w:r>
      <w:r w:rsidRPr="00790717">
        <w:rPr>
          <w:rFonts w:cstheme="minorHAnsi"/>
        </w:rPr>
        <w:t>≥ 2</w:t>
      </w:r>
      <w:r>
        <w:rPr>
          <w:rFonts w:cstheme="minorHAnsi"/>
        </w:rPr>
        <w:t xml:space="preserve">).  In some series other factors </w:t>
      </w:r>
      <w:proofErr w:type="gramStart"/>
      <w:r>
        <w:rPr>
          <w:rFonts w:cstheme="minorHAnsi"/>
        </w:rPr>
        <w:t>included;</w:t>
      </w:r>
      <w:proofErr w:type="gramEnd"/>
      <w:r>
        <w:rPr>
          <w:rFonts w:cstheme="minorHAnsi"/>
        </w:rPr>
        <w:t xml:space="preserve"> hypertension (tended to drop out in logistic regression), chronic kidney disease, white race (USA), not had anti-coagulation, (</w:t>
      </w:r>
      <w:proofErr w:type="spellStart"/>
      <w:r>
        <w:rPr>
          <w:rFonts w:cstheme="minorHAnsi"/>
        </w:rPr>
        <w:t>DDimer</w:t>
      </w:r>
      <w:proofErr w:type="spellEnd"/>
      <w:r>
        <w:rPr>
          <w:rFonts w:cstheme="minorHAnsi"/>
        </w:rPr>
        <w:t xml:space="preserve"> at discharge higher in those subsequently admitted with pulmonary embolus) and immunosuppression. In general patients who had shorter admissions and relatively uncomplicated stays were more at risk of re-admission. </w:t>
      </w:r>
    </w:p>
    <w:p w14:paraId="2B1D8F9C" w14:textId="77777777" w:rsidR="00FE1C11" w:rsidRDefault="00FE1C11" w:rsidP="00FE1C11">
      <w:pPr>
        <w:rPr>
          <w:rFonts w:cstheme="minorHAnsi"/>
        </w:rPr>
      </w:pPr>
      <w:r>
        <w:rPr>
          <w:rFonts w:cstheme="minorHAnsi"/>
        </w:rPr>
        <w:t xml:space="preserve">There is no specific evidence that identifying patients, at an earlier stage, whose condition is deteriorating following discharge after COVID-19, results in better outcomes. However, it would seem sensible in the light of what is known about the management of COVID-19.  Potentially, similar observations to those newly diagnosed with COVID-19 could be useful (Symptoms of breathlessness, oxygen saturation, pulse rate, temperature).  It is not clear however, at what level symptom and physiological triggers should be set, given that at the time of discharge some patients will have lower exercise capacity than they had previously, will often feel fatigued and, if they have significant lung damage, may have lower resting oxygen </w:t>
      </w:r>
      <w:proofErr w:type="gramStart"/>
      <w:r>
        <w:rPr>
          <w:rFonts w:cstheme="minorHAnsi"/>
        </w:rPr>
        <w:t>saturation</w:t>
      </w:r>
      <w:proofErr w:type="gramEnd"/>
      <w:r>
        <w:rPr>
          <w:rFonts w:cstheme="minorHAnsi"/>
        </w:rPr>
        <w:t xml:space="preserve"> and will desaturate following exercise. It may be that these may have to be individually </w:t>
      </w:r>
      <w:proofErr w:type="gramStart"/>
      <w:r>
        <w:rPr>
          <w:rFonts w:cstheme="minorHAnsi"/>
        </w:rPr>
        <w:t>tailored, or</w:t>
      </w:r>
      <w:proofErr w:type="gramEnd"/>
      <w:r>
        <w:rPr>
          <w:rFonts w:cstheme="minorHAnsi"/>
        </w:rPr>
        <w:t xml:space="preserve"> restricted to those discharged with relatively few symptoms and signs.</w:t>
      </w:r>
    </w:p>
    <w:p w14:paraId="281B2C04" w14:textId="77777777" w:rsidR="00FE1C11" w:rsidRDefault="00FE1C11" w:rsidP="00FE1C11">
      <w:pPr>
        <w:rPr>
          <w:rFonts w:cstheme="minorHAnsi"/>
        </w:rPr>
      </w:pPr>
      <w:r>
        <w:rPr>
          <w:rFonts w:cstheme="minorHAnsi"/>
        </w:rPr>
        <w:t>A rapid review f</w:t>
      </w:r>
      <w:r w:rsidRPr="00BD4474">
        <w:rPr>
          <w:rFonts w:cstheme="minorHAnsi"/>
        </w:rPr>
        <w:t xml:space="preserve">ound </w:t>
      </w:r>
      <w:r>
        <w:rPr>
          <w:rFonts w:cstheme="minorHAnsi"/>
        </w:rPr>
        <w:t>five</w:t>
      </w:r>
      <w:r w:rsidRPr="00BD4474">
        <w:rPr>
          <w:rFonts w:cstheme="minorHAnsi"/>
        </w:rPr>
        <w:t xml:space="preserve"> recent papers</w:t>
      </w:r>
      <w:r>
        <w:rPr>
          <w:rFonts w:cstheme="minorHAnsi"/>
        </w:rPr>
        <w:t xml:space="preserve"> (two from the USA,</w:t>
      </w:r>
      <w:r>
        <w:rPr>
          <w:rStyle w:val="EndnoteReference"/>
        </w:rPr>
        <w:endnoteReference w:id="42"/>
      </w:r>
      <w:r>
        <w:rPr>
          <w:rFonts w:cstheme="minorHAnsi"/>
          <w:vertAlign w:val="superscript"/>
        </w:rPr>
        <w:t>,</w:t>
      </w:r>
      <w:r>
        <w:rPr>
          <w:rStyle w:val="EndnoteReference"/>
        </w:rPr>
        <w:endnoteReference w:id="43"/>
      </w:r>
      <w:r>
        <w:rPr>
          <w:rFonts w:cstheme="minorHAnsi"/>
        </w:rPr>
        <w:t xml:space="preserve"> and one each from Spain,</w:t>
      </w:r>
      <w:r>
        <w:rPr>
          <w:rStyle w:val="EndnoteReference"/>
        </w:rPr>
        <w:endnoteReference w:id="44"/>
      </w:r>
      <w:r>
        <w:rPr>
          <w:rFonts w:cstheme="minorHAnsi"/>
        </w:rPr>
        <w:t xml:space="preserve"> Ireland</w:t>
      </w:r>
      <w:r>
        <w:rPr>
          <w:rStyle w:val="EndnoteReference"/>
        </w:rPr>
        <w:endnoteReference w:id="45"/>
      </w:r>
      <w:r>
        <w:rPr>
          <w:rFonts w:cstheme="minorHAnsi"/>
        </w:rPr>
        <w:t xml:space="preserve"> and Netherlands</w:t>
      </w:r>
      <w:r>
        <w:rPr>
          <w:rStyle w:val="EndnoteReference"/>
        </w:rPr>
        <w:endnoteReference w:id="46"/>
      </w:r>
      <w:r>
        <w:rPr>
          <w:rFonts w:cstheme="minorHAnsi"/>
        </w:rPr>
        <w:t xml:space="preserve"> see table 2) </w:t>
      </w:r>
      <w:r w:rsidRPr="00BD4474">
        <w:rPr>
          <w:rFonts w:cstheme="minorHAnsi"/>
        </w:rPr>
        <w:t>which addressed</w:t>
      </w:r>
      <w:r>
        <w:rPr>
          <w:rFonts w:cstheme="minorHAnsi"/>
        </w:rPr>
        <w:t>,</w:t>
      </w:r>
      <w:r w:rsidRPr="00BD4474">
        <w:rPr>
          <w:rFonts w:cstheme="minorHAnsi"/>
        </w:rPr>
        <w:t xml:space="preserve"> at least in part</w:t>
      </w:r>
      <w:r>
        <w:rPr>
          <w:rFonts w:cstheme="minorHAnsi"/>
        </w:rPr>
        <w:t>,</w:t>
      </w:r>
      <w:r w:rsidRPr="00BD4474">
        <w:rPr>
          <w:rFonts w:cstheme="minorHAnsi"/>
        </w:rPr>
        <w:t xml:space="preserve"> the use of telemonitoring for step-down </w:t>
      </w:r>
      <w:r>
        <w:rPr>
          <w:rFonts w:cstheme="minorHAnsi"/>
        </w:rPr>
        <w:t xml:space="preserve">discharged </w:t>
      </w:r>
      <w:r w:rsidRPr="00BD4474">
        <w:rPr>
          <w:rFonts w:cstheme="minorHAnsi"/>
        </w:rPr>
        <w:t xml:space="preserve">patients with COVID-19. </w:t>
      </w:r>
      <w:r>
        <w:rPr>
          <w:rFonts w:cstheme="minorHAnsi"/>
        </w:rPr>
        <w:t>The patient demography varied from study to study, for example in one study a considerable proportion of patients were discharged on domiciliary oxygen.</w:t>
      </w:r>
      <w:r>
        <w:rPr>
          <w:rFonts w:cstheme="minorHAnsi"/>
          <w:vertAlign w:val="superscript"/>
        </w:rPr>
        <w:t>11</w:t>
      </w:r>
      <w:r>
        <w:rPr>
          <w:rFonts w:cstheme="minorHAnsi"/>
        </w:rPr>
        <w:t xml:space="preserve"> Patients in the studies were generally younger than patients normally admitted to hospital with COVID-19 in Scotland (median ages ranged from 48-54). </w:t>
      </w:r>
      <w:r w:rsidRPr="00BD4474">
        <w:rPr>
          <w:rFonts w:cstheme="minorHAnsi"/>
        </w:rPr>
        <w:t xml:space="preserve">Most </w:t>
      </w:r>
      <w:r>
        <w:rPr>
          <w:rFonts w:cstheme="minorHAnsi"/>
        </w:rPr>
        <w:t xml:space="preserve">follow-up systems </w:t>
      </w:r>
      <w:r w:rsidRPr="00BD4474">
        <w:rPr>
          <w:rFonts w:cstheme="minorHAnsi"/>
        </w:rPr>
        <w:t>used pulse oximetry and some also temperature</w:t>
      </w:r>
      <w:r>
        <w:rPr>
          <w:rFonts w:cstheme="minorHAnsi"/>
        </w:rPr>
        <w:t xml:space="preserve"> and a variety of symptom questions</w:t>
      </w:r>
      <w:r w:rsidRPr="00BD4474">
        <w:rPr>
          <w:rFonts w:cstheme="minorHAnsi"/>
        </w:rPr>
        <w:t>. Post discharge observations were around 14 days where this was stated. Triggers for saturation alerts varied from ≤94% to &lt;90%. The only stated temperature alert was &gt; 103</w:t>
      </w:r>
      <w:r w:rsidRPr="00BD4474">
        <w:rPr>
          <w:rFonts w:cstheme="minorHAnsi"/>
          <w:vertAlign w:val="superscript"/>
        </w:rPr>
        <w:t>o</w:t>
      </w:r>
      <w:r w:rsidRPr="00BD4474">
        <w:rPr>
          <w:rFonts w:cstheme="minorHAnsi"/>
        </w:rPr>
        <w:t>F (38</w:t>
      </w:r>
      <w:r w:rsidRPr="00BD4474">
        <w:rPr>
          <w:rFonts w:cstheme="minorHAnsi"/>
          <w:vertAlign w:val="superscript"/>
        </w:rPr>
        <w:t>o</w:t>
      </w:r>
      <w:r w:rsidRPr="00BD4474">
        <w:rPr>
          <w:rFonts w:cstheme="minorHAnsi"/>
        </w:rPr>
        <w:t>C) and one had a pulse alert of &gt;120bpm. The number of alerts varied greatly over the different systems. Temperature was the biggest cause of alerts in the systems that used it. Hospital admissions rates varied from 22% to zero. This vari</w:t>
      </w:r>
      <w:r>
        <w:rPr>
          <w:rFonts w:cstheme="minorHAnsi"/>
        </w:rPr>
        <w:t xml:space="preserve">ation is </w:t>
      </w:r>
      <w:r w:rsidRPr="00BD4474">
        <w:rPr>
          <w:rFonts w:cstheme="minorHAnsi"/>
        </w:rPr>
        <w:t xml:space="preserve">probably </w:t>
      </w:r>
      <w:proofErr w:type="gramStart"/>
      <w:r w:rsidRPr="00BD4474">
        <w:rPr>
          <w:rFonts w:cstheme="minorHAnsi"/>
        </w:rPr>
        <w:t>as a result of</w:t>
      </w:r>
      <w:proofErr w:type="gramEnd"/>
      <w:r w:rsidRPr="00BD4474">
        <w:rPr>
          <w:rFonts w:cstheme="minorHAnsi"/>
        </w:rPr>
        <w:t xml:space="preserve"> case-mix and </w:t>
      </w:r>
      <w:r>
        <w:rPr>
          <w:rFonts w:cstheme="minorHAnsi"/>
        </w:rPr>
        <w:t xml:space="preserve">of policy on </w:t>
      </w:r>
      <w:r w:rsidRPr="00BD4474">
        <w:rPr>
          <w:rFonts w:cstheme="minorHAnsi"/>
        </w:rPr>
        <w:t xml:space="preserve">response to trigger (despite 11 triggers for SaO2 &lt;90% one group admitted no-one!) </w:t>
      </w:r>
    </w:p>
    <w:p w14:paraId="35744ED9" w14:textId="77777777" w:rsidR="00FE1C11" w:rsidRPr="00BD4474" w:rsidRDefault="00FE1C11" w:rsidP="00FE1C11">
      <w:pPr>
        <w:rPr>
          <w:rFonts w:cstheme="minorHAnsi"/>
        </w:rPr>
      </w:pPr>
      <w:r>
        <w:rPr>
          <w:rFonts w:cstheme="minorHAnsi"/>
        </w:rPr>
        <w:t>None of the papers presented an economic evaluation of telemonitored discharged patients.</w:t>
      </w:r>
    </w:p>
    <w:p w14:paraId="4A01B9EA" w14:textId="77777777" w:rsidR="00FE1C11" w:rsidRDefault="00FE1C11" w:rsidP="00FE1C11">
      <w:pPr>
        <w:rPr>
          <w:rFonts w:cstheme="minorHAnsi"/>
        </w:rPr>
      </w:pPr>
      <w:r>
        <w:rPr>
          <w:rFonts w:cstheme="minorHAnsi"/>
        </w:rPr>
        <w:t xml:space="preserve">This a rapid review and therefore some papers may have been missed. However, It certainly seems feasible to </w:t>
      </w:r>
      <w:proofErr w:type="gramStart"/>
      <w:r>
        <w:rPr>
          <w:rFonts w:cstheme="minorHAnsi"/>
        </w:rPr>
        <w:t>telemonitor  discharged</w:t>
      </w:r>
      <w:proofErr w:type="gramEnd"/>
      <w:r>
        <w:rPr>
          <w:rFonts w:cstheme="minorHAnsi"/>
        </w:rPr>
        <w:t xml:space="preserve"> patients and this may allow clinicians to discharge patients a little earlier than they may otherwise have with the reassurance that they are still being monitored, saving valuable hospital beds. </w:t>
      </w:r>
    </w:p>
    <w:p w14:paraId="3F46331B" w14:textId="77777777" w:rsidR="00FE1C11" w:rsidRDefault="00FE1C11" w:rsidP="00FE1C11">
      <w:pPr>
        <w:rPr>
          <w:rFonts w:cstheme="minorHAnsi"/>
        </w:rPr>
      </w:pPr>
    </w:p>
    <w:p w14:paraId="03235845" w14:textId="77777777" w:rsidR="00FE1C11" w:rsidRPr="0017427A" w:rsidRDefault="00FE1C11" w:rsidP="00FE1C11">
      <w:pPr>
        <w:rPr>
          <w:rFonts w:cstheme="minorHAnsi"/>
          <w:b/>
          <w:bCs/>
        </w:rPr>
      </w:pPr>
      <w:r>
        <w:rPr>
          <w:rFonts w:cstheme="minorHAnsi"/>
          <w:b/>
          <w:bCs/>
        </w:rPr>
        <w:t xml:space="preserve">Recommendations </w:t>
      </w:r>
    </w:p>
    <w:p w14:paraId="7DFE1126" w14:textId="77777777" w:rsidR="00FE1C11" w:rsidRDefault="00FE1C11" w:rsidP="00FE1C11">
      <w:pPr>
        <w:rPr>
          <w:rFonts w:cstheme="minorHAnsi"/>
        </w:rPr>
      </w:pPr>
      <w:r>
        <w:rPr>
          <w:rFonts w:cstheme="minorHAnsi"/>
        </w:rPr>
        <w:t xml:space="preserve">It is recommended </w:t>
      </w:r>
      <w:proofErr w:type="gramStart"/>
      <w:r>
        <w:rPr>
          <w:rFonts w:cstheme="minorHAnsi"/>
        </w:rPr>
        <w:t>that  a</w:t>
      </w:r>
      <w:proofErr w:type="gramEnd"/>
      <w:r>
        <w:rPr>
          <w:rFonts w:cstheme="minorHAnsi"/>
        </w:rPr>
        <w:t xml:space="preserve"> clinician advisory group be formed to review this area to determine</w:t>
      </w:r>
    </w:p>
    <w:p w14:paraId="16E4E6F4" w14:textId="77777777" w:rsidR="00FE1C11" w:rsidRDefault="00FE1C11" w:rsidP="00FE1C11">
      <w:pPr>
        <w:pStyle w:val="ListParagraph"/>
        <w:numPr>
          <w:ilvl w:val="0"/>
          <w:numId w:val="23"/>
        </w:numPr>
        <w:rPr>
          <w:rFonts w:cstheme="minorHAnsi"/>
        </w:rPr>
      </w:pPr>
      <w:r>
        <w:rPr>
          <w:rFonts w:cstheme="minorHAnsi"/>
        </w:rPr>
        <w:t>If COVID-19 post discharge monitoring is likely to be helpful</w:t>
      </w:r>
    </w:p>
    <w:p w14:paraId="667CEAB1" w14:textId="77777777" w:rsidR="00FE1C11" w:rsidRDefault="00FE1C11" w:rsidP="00FE1C11">
      <w:pPr>
        <w:pStyle w:val="ListParagraph"/>
        <w:numPr>
          <w:ilvl w:val="0"/>
          <w:numId w:val="23"/>
        </w:numPr>
        <w:rPr>
          <w:rFonts w:cstheme="minorHAnsi"/>
        </w:rPr>
      </w:pPr>
      <w:r>
        <w:rPr>
          <w:rFonts w:cstheme="minorHAnsi"/>
        </w:rPr>
        <w:t xml:space="preserve">What the components of post-discharge monitoring should be </w:t>
      </w:r>
    </w:p>
    <w:p w14:paraId="61447026" w14:textId="77777777" w:rsidR="00FE1C11" w:rsidRPr="00B45238" w:rsidRDefault="00FE1C11" w:rsidP="00FE1C11">
      <w:pPr>
        <w:pStyle w:val="ListParagraph"/>
        <w:numPr>
          <w:ilvl w:val="0"/>
          <w:numId w:val="23"/>
        </w:numPr>
        <w:rPr>
          <w:rFonts w:cstheme="minorHAnsi"/>
        </w:rPr>
      </w:pPr>
      <w:r w:rsidRPr="00B45238">
        <w:rPr>
          <w:rFonts w:cstheme="minorHAnsi"/>
        </w:rPr>
        <w:t>What appropriate triggers</w:t>
      </w:r>
      <w:r>
        <w:rPr>
          <w:rFonts w:cstheme="minorHAnsi"/>
        </w:rPr>
        <w:t xml:space="preserve"> should be </w:t>
      </w:r>
      <w:r w:rsidRPr="00B45238">
        <w:rPr>
          <w:rFonts w:cstheme="minorHAnsi"/>
        </w:rPr>
        <w:t>(</w:t>
      </w:r>
      <w:proofErr w:type="gramStart"/>
      <w:r>
        <w:rPr>
          <w:rFonts w:cstheme="minorHAnsi"/>
        </w:rPr>
        <w:t>e.g.</w:t>
      </w:r>
      <w:proofErr w:type="gramEnd"/>
      <w:r>
        <w:rPr>
          <w:rFonts w:cstheme="minorHAnsi"/>
        </w:rPr>
        <w:t xml:space="preserve"> i</w:t>
      </w:r>
      <w:r w:rsidRPr="00B45238">
        <w:rPr>
          <w:rFonts w:cstheme="minorHAnsi"/>
        </w:rPr>
        <w:t>s it likely that these will have to be tailored to individuals or would existing COVID monitoring triggers be appropriate)</w:t>
      </w:r>
    </w:p>
    <w:p w14:paraId="198F5892" w14:textId="77777777" w:rsidR="00FE1C11" w:rsidRDefault="00FE1C11" w:rsidP="00FE1C11">
      <w:pPr>
        <w:pStyle w:val="ListParagraph"/>
        <w:numPr>
          <w:ilvl w:val="0"/>
          <w:numId w:val="23"/>
        </w:numPr>
        <w:rPr>
          <w:rFonts w:cstheme="minorHAnsi"/>
        </w:rPr>
      </w:pPr>
      <w:r>
        <w:rPr>
          <w:rFonts w:cstheme="minorHAnsi"/>
        </w:rPr>
        <w:t xml:space="preserve">Which types of people are likely to be suitable for post discharge </w:t>
      </w:r>
      <w:proofErr w:type="gramStart"/>
      <w:r>
        <w:rPr>
          <w:rFonts w:cstheme="minorHAnsi"/>
        </w:rPr>
        <w:t>monitoring</w:t>
      </w:r>
      <w:proofErr w:type="gramEnd"/>
    </w:p>
    <w:p w14:paraId="2B4588B2" w14:textId="77777777" w:rsidR="00FE1C11" w:rsidRPr="00282A6A" w:rsidRDefault="00FE1C11" w:rsidP="00FE1C11">
      <w:pPr>
        <w:pStyle w:val="ListParagraph"/>
        <w:numPr>
          <w:ilvl w:val="0"/>
          <w:numId w:val="23"/>
        </w:numPr>
        <w:rPr>
          <w:rFonts w:cstheme="minorHAnsi"/>
        </w:rPr>
      </w:pPr>
      <w:r>
        <w:rPr>
          <w:rFonts w:cstheme="minorHAnsi"/>
        </w:rPr>
        <w:t xml:space="preserve">Who would be best to have overall charge of such patients (e.g. respiratory nurse team, GP although this will vary according to local </w:t>
      </w:r>
      <w:proofErr w:type="gramStart"/>
      <w:r>
        <w:rPr>
          <w:rFonts w:cstheme="minorHAnsi"/>
        </w:rPr>
        <w:t>arrangements )</w:t>
      </w:r>
      <w:proofErr w:type="gramEnd"/>
    </w:p>
    <w:p w14:paraId="2599DC39" w14:textId="77777777" w:rsidR="00FE1C11" w:rsidRDefault="00FE1C11" w:rsidP="00FE1C11">
      <w:pPr>
        <w:rPr>
          <w:rFonts w:cstheme="minorHAnsi"/>
        </w:rPr>
      </w:pPr>
    </w:p>
    <w:p w14:paraId="1AA23C18" w14:textId="77777777" w:rsidR="00FE1C11" w:rsidRDefault="00FE1C11" w:rsidP="00FE1C11">
      <w:pPr>
        <w:rPr>
          <w:rFonts w:cstheme="minorHAnsi"/>
        </w:rPr>
      </w:pPr>
      <w:r>
        <w:rPr>
          <w:rFonts w:cstheme="minorHAnsi"/>
        </w:rPr>
        <w:br w:type="page"/>
      </w:r>
    </w:p>
    <w:p w14:paraId="5CE81FD6" w14:textId="77777777" w:rsidR="00FE1C11" w:rsidRDefault="00FE1C11" w:rsidP="00FE1C11">
      <w:pPr>
        <w:rPr>
          <w:rFonts w:cstheme="minorHAnsi"/>
        </w:rPr>
        <w:sectPr w:rsidR="00FE1C11">
          <w:endnotePr>
            <w:numFmt w:val="decimal"/>
          </w:endnotePr>
          <w:pgSz w:w="11906" w:h="16838"/>
          <w:pgMar w:top="1440" w:right="1440" w:bottom="1440" w:left="1440" w:header="708" w:footer="708" w:gutter="0"/>
          <w:cols w:space="708"/>
          <w:docGrid w:linePitch="360"/>
        </w:sectPr>
      </w:pPr>
    </w:p>
    <w:p w14:paraId="501A3AA5" w14:textId="77777777" w:rsidR="00FE1C11" w:rsidRDefault="00FE1C11" w:rsidP="00FE1C11">
      <w:pPr>
        <w:rPr>
          <w:rFonts w:cstheme="minorHAnsi"/>
          <w:sz w:val="24"/>
          <w:szCs w:val="24"/>
        </w:rPr>
      </w:pPr>
      <w:r>
        <w:rPr>
          <w:rFonts w:cstheme="minorHAnsi"/>
          <w:sz w:val="24"/>
          <w:szCs w:val="24"/>
        </w:rPr>
        <w:t>Table 1 Studies exploring risk factors for re-admission</w:t>
      </w:r>
    </w:p>
    <w:tbl>
      <w:tblPr>
        <w:tblStyle w:val="TableGrid"/>
        <w:tblW w:w="0" w:type="auto"/>
        <w:tblLayout w:type="fixed"/>
        <w:tblLook w:val="04A0" w:firstRow="1" w:lastRow="0" w:firstColumn="1" w:lastColumn="0" w:noHBand="0" w:noVBand="1"/>
      </w:tblPr>
      <w:tblGrid>
        <w:gridCol w:w="3964"/>
        <w:gridCol w:w="1134"/>
        <w:gridCol w:w="1134"/>
        <w:gridCol w:w="1134"/>
        <w:gridCol w:w="1418"/>
        <w:gridCol w:w="2551"/>
        <w:gridCol w:w="1134"/>
        <w:gridCol w:w="1479"/>
      </w:tblGrid>
      <w:tr w:rsidR="00FE1C11" w:rsidRPr="00007D3B" w14:paraId="00F223FA" w14:textId="77777777" w:rsidTr="00AA1ABE">
        <w:tc>
          <w:tcPr>
            <w:tcW w:w="3964" w:type="dxa"/>
          </w:tcPr>
          <w:p w14:paraId="1948A6FB" w14:textId="77777777" w:rsidR="00FE1C11" w:rsidRPr="00007D3B" w:rsidRDefault="00FE1C11" w:rsidP="00AA1ABE">
            <w:pPr>
              <w:rPr>
                <w:rFonts w:cstheme="minorHAnsi"/>
                <w:sz w:val="20"/>
                <w:szCs w:val="20"/>
              </w:rPr>
            </w:pPr>
            <w:r w:rsidRPr="00007D3B">
              <w:rPr>
                <w:rFonts w:cstheme="minorHAnsi"/>
                <w:sz w:val="20"/>
                <w:szCs w:val="20"/>
              </w:rPr>
              <w:t>Author/ref</w:t>
            </w:r>
          </w:p>
        </w:tc>
        <w:tc>
          <w:tcPr>
            <w:tcW w:w="1134" w:type="dxa"/>
          </w:tcPr>
          <w:p w14:paraId="133AB943" w14:textId="77777777" w:rsidR="00FE1C11" w:rsidRPr="00007D3B" w:rsidRDefault="00FE1C11" w:rsidP="00AA1ABE">
            <w:pPr>
              <w:rPr>
                <w:rFonts w:cstheme="minorHAnsi"/>
                <w:sz w:val="20"/>
                <w:szCs w:val="20"/>
              </w:rPr>
            </w:pPr>
            <w:r w:rsidRPr="00007D3B">
              <w:rPr>
                <w:rFonts w:cstheme="minorHAnsi"/>
                <w:sz w:val="20"/>
                <w:szCs w:val="20"/>
              </w:rPr>
              <w:t>Number of patients</w:t>
            </w:r>
            <w:r>
              <w:rPr>
                <w:rFonts w:cstheme="minorHAnsi"/>
                <w:sz w:val="20"/>
                <w:szCs w:val="20"/>
              </w:rPr>
              <w:t xml:space="preserve"> </w:t>
            </w:r>
            <w:r w:rsidRPr="00007D3B">
              <w:rPr>
                <w:rFonts w:cstheme="minorHAnsi"/>
                <w:color w:val="131413"/>
                <w:sz w:val="20"/>
                <w:szCs w:val="20"/>
              </w:rPr>
              <w:t>discharged</w:t>
            </w:r>
          </w:p>
        </w:tc>
        <w:tc>
          <w:tcPr>
            <w:tcW w:w="1134" w:type="dxa"/>
          </w:tcPr>
          <w:p w14:paraId="4EE1FD28" w14:textId="77777777" w:rsidR="00FE1C11" w:rsidRPr="00007D3B" w:rsidRDefault="00FE1C11" w:rsidP="00AA1ABE">
            <w:pPr>
              <w:rPr>
                <w:rFonts w:cstheme="minorHAnsi"/>
                <w:sz w:val="20"/>
                <w:szCs w:val="20"/>
              </w:rPr>
            </w:pPr>
            <w:r w:rsidRPr="00007D3B">
              <w:rPr>
                <w:rFonts w:cstheme="minorHAnsi"/>
                <w:sz w:val="20"/>
                <w:szCs w:val="20"/>
              </w:rPr>
              <w:t>Time period</w:t>
            </w:r>
          </w:p>
        </w:tc>
        <w:tc>
          <w:tcPr>
            <w:tcW w:w="1134" w:type="dxa"/>
          </w:tcPr>
          <w:p w14:paraId="4EB9BBC0" w14:textId="77777777" w:rsidR="00FE1C11" w:rsidRPr="00007D3B" w:rsidRDefault="00FE1C11" w:rsidP="00AA1ABE">
            <w:pPr>
              <w:rPr>
                <w:rFonts w:cstheme="minorHAnsi"/>
                <w:sz w:val="20"/>
                <w:szCs w:val="20"/>
              </w:rPr>
            </w:pPr>
            <w:r w:rsidRPr="00007D3B">
              <w:rPr>
                <w:rFonts w:cstheme="minorHAnsi"/>
                <w:sz w:val="20"/>
                <w:szCs w:val="20"/>
              </w:rPr>
              <w:t>country</w:t>
            </w:r>
          </w:p>
        </w:tc>
        <w:tc>
          <w:tcPr>
            <w:tcW w:w="1418" w:type="dxa"/>
          </w:tcPr>
          <w:p w14:paraId="466494E2" w14:textId="77777777" w:rsidR="00FE1C11" w:rsidRPr="00007D3B" w:rsidRDefault="00FE1C11" w:rsidP="00AA1ABE">
            <w:pPr>
              <w:rPr>
                <w:rFonts w:cstheme="minorHAnsi"/>
                <w:sz w:val="20"/>
                <w:szCs w:val="20"/>
              </w:rPr>
            </w:pPr>
            <w:r w:rsidRPr="00007D3B">
              <w:rPr>
                <w:rFonts w:cstheme="minorHAnsi"/>
                <w:sz w:val="20"/>
                <w:szCs w:val="20"/>
              </w:rPr>
              <w:t>Readmission</w:t>
            </w:r>
            <w:r>
              <w:rPr>
                <w:rFonts w:cstheme="minorHAnsi"/>
                <w:sz w:val="20"/>
                <w:szCs w:val="20"/>
              </w:rPr>
              <w:t>s</w:t>
            </w:r>
            <w:r w:rsidRPr="00007D3B">
              <w:rPr>
                <w:rFonts w:cstheme="minorHAnsi"/>
                <w:sz w:val="20"/>
                <w:szCs w:val="20"/>
              </w:rPr>
              <w:t xml:space="preserve"> </w:t>
            </w:r>
            <w:r>
              <w:rPr>
                <w:rFonts w:cstheme="minorHAnsi"/>
                <w:sz w:val="20"/>
                <w:szCs w:val="20"/>
              </w:rPr>
              <w:t>(%readmitted)</w:t>
            </w:r>
          </w:p>
        </w:tc>
        <w:tc>
          <w:tcPr>
            <w:tcW w:w="2551" w:type="dxa"/>
          </w:tcPr>
          <w:p w14:paraId="1BB07DAB" w14:textId="77777777" w:rsidR="00FE1C11" w:rsidRPr="00007D3B" w:rsidRDefault="00FE1C11" w:rsidP="00AA1ABE">
            <w:pPr>
              <w:rPr>
                <w:rFonts w:cstheme="minorHAnsi"/>
                <w:sz w:val="20"/>
                <w:szCs w:val="20"/>
              </w:rPr>
            </w:pPr>
            <w:r w:rsidRPr="00007D3B">
              <w:rPr>
                <w:rFonts w:cstheme="minorHAnsi"/>
                <w:sz w:val="20"/>
                <w:szCs w:val="20"/>
              </w:rPr>
              <w:t>Associated factors</w:t>
            </w:r>
          </w:p>
        </w:tc>
        <w:tc>
          <w:tcPr>
            <w:tcW w:w="1134" w:type="dxa"/>
          </w:tcPr>
          <w:p w14:paraId="5CD1BB3F" w14:textId="77777777" w:rsidR="00FE1C11" w:rsidRPr="00007D3B" w:rsidRDefault="00FE1C11" w:rsidP="00AA1ABE">
            <w:pPr>
              <w:rPr>
                <w:rFonts w:cstheme="minorHAnsi"/>
                <w:sz w:val="20"/>
                <w:szCs w:val="20"/>
              </w:rPr>
            </w:pPr>
            <w:r w:rsidRPr="00007D3B">
              <w:rPr>
                <w:rFonts w:cstheme="minorHAnsi"/>
                <w:sz w:val="20"/>
                <w:szCs w:val="20"/>
              </w:rPr>
              <w:t xml:space="preserve">Time </w:t>
            </w:r>
            <w:r>
              <w:rPr>
                <w:rFonts w:cstheme="minorHAnsi"/>
                <w:sz w:val="20"/>
                <w:szCs w:val="20"/>
              </w:rPr>
              <w:t xml:space="preserve">to </w:t>
            </w:r>
            <w:r w:rsidRPr="00007D3B">
              <w:rPr>
                <w:rFonts w:cstheme="minorHAnsi"/>
                <w:sz w:val="20"/>
                <w:szCs w:val="20"/>
              </w:rPr>
              <w:t>readmission</w:t>
            </w:r>
          </w:p>
        </w:tc>
        <w:tc>
          <w:tcPr>
            <w:tcW w:w="1479" w:type="dxa"/>
          </w:tcPr>
          <w:p w14:paraId="75094D94" w14:textId="77777777" w:rsidR="00FE1C11" w:rsidRPr="00007D3B" w:rsidRDefault="00FE1C11" w:rsidP="00AA1ABE">
            <w:pPr>
              <w:rPr>
                <w:rFonts w:cstheme="minorHAnsi"/>
                <w:sz w:val="20"/>
                <w:szCs w:val="20"/>
              </w:rPr>
            </w:pPr>
            <w:r w:rsidRPr="00007D3B">
              <w:rPr>
                <w:rFonts w:cstheme="minorHAnsi"/>
                <w:sz w:val="20"/>
                <w:szCs w:val="20"/>
              </w:rPr>
              <w:t>Reason for return</w:t>
            </w:r>
          </w:p>
        </w:tc>
      </w:tr>
      <w:tr w:rsidR="00FE1C11" w:rsidRPr="00007D3B" w14:paraId="068F5FCB" w14:textId="77777777" w:rsidTr="00AA1ABE">
        <w:trPr>
          <w:trHeight w:val="2564"/>
        </w:trPr>
        <w:tc>
          <w:tcPr>
            <w:tcW w:w="3964" w:type="dxa"/>
          </w:tcPr>
          <w:p w14:paraId="645ACF03" w14:textId="77777777" w:rsidR="00FE1C11" w:rsidRPr="00007D3B" w:rsidRDefault="00FE1C11" w:rsidP="00AA1ABE">
            <w:pPr>
              <w:rPr>
                <w:rFonts w:cstheme="minorHAnsi"/>
                <w:sz w:val="20"/>
                <w:szCs w:val="20"/>
              </w:rPr>
            </w:pPr>
            <w:bookmarkStart w:id="10" w:name="_Hlk61939211"/>
            <w:r w:rsidRPr="00007D3B">
              <w:rPr>
                <w:rFonts w:cstheme="minorHAnsi"/>
                <w:color w:val="303030"/>
                <w:sz w:val="20"/>
                <w:szCs w:val="20"/>
                <w:shd w:val="clear" w:color="auto" w:fill="FFFFFF"/>
              </w:rPr>
              <w:t xml:space="preserve">Jeon WH, </w:t>
            </w:r>
            <w:proofErr w:type="spellStart"/>
            <w:r w:rsidRPr="00007D3B">
              <w:rPr>
                <w:rFonts w:cstheme="minorHAnsi"/>
                <w:color w:val="303030"/>
                <w:sz w:val="20"/>
                <w:szCs w:val="20"/>
                <w:shd w:val="clear" w:color="auto" w:fill="FFFFFF"/>
              </w:rPr>
              <w:t>Seon</w:t>
            </w:r>
            <w:proofErr w:type="spellEnd"/>
            <w:r w:rsidRPr="00007D3B">
              <w:rPr>
                <w:rFonts w:cstheme="minorHAnsi"/>
                <w:color w:val="303030"/>
                <w:sz w:val="20"/>
                <w:szCs w:val="20"/>
                <w:shd w:val="clear" w:color="auto" w:fill="FFFFFF"/>
              </w:rPr>
              <w:t xml:space="preserve"> JY, Park SY, Oh IH. Analysis of Risk Factors on Readmission Cases of COVID-19 in the Republic of Korea: Using Nationwide Health Claims Data. </w:t>
            </w:r>
            <w:r w:rsidRPr="00007D3B">
              <w:rPr>
                <w:rFonts w:cstheme="minorHAnsi"/>
                <w:i/>
                <w:iCs/>
                <w:color w:val="303030"/>
                <w:sz w:val="20"/>
                <w:szCs w:val="20"/>
                <w:shd w:val="clear" w:color="auto" w:fill="FFFFFF"/>
              </w:rPr>
              <w:t>Int J Environ Res Public Health</w:t>
            </w:r>
            <w:r w:rsidRPr="00007D3B">
              <w:rPr>
                <w:rFonts w:cstheme="minorHAnsi"/>
                <w:color w:val="303030"/>
                <w:sz w:val="20"/>
                <w:szCs w:val="20"/>
                <w:shd w:val="clear" w:color="auto" w:fill="FFFFFF"/>
              </w:rPr>
              <w:t>. 2020;17(16):5844. Published 2020 Aug 12. doi:10.3390/ijerph17165844</w:t>
            </w:r>
            <w:bookmarkEnd w:id="10"/>
          </w:p>
        </w:tc>
        <w:tc>
          <w:tcPr>
            <w:tcW w:w="1134" w:type="dxa"/>
          </w:tcPr>
          <w:p w14:paraId="0AC491D7" w14:textId="77777777" w:rsidR="00FE1C11" w:rsidRPr="00007D3B" w:rsidRDefault="00FE1C11" w:rsidP="00AA1ABE">
            <w:pPr>
              <w:rPr>
                <w:rFonts w:cstheme="minorHAnsi"/>
                <w:sz w:val="20"/>
                <w:szCs w:val="20"/>
              </w:rPr>
            </w:pPr>
            <w:r w:rsidRPr="00007D3B">
              <w:rPr>
                <w:rFonts w:cstheme="minorHAnsi"/>
                <w:color w:val="000000"/>
                <w:sz w:val="20"/>
                <w:szCs w:val="20"/>
                <w:shd w:val="clear" w:color="auto" w:fill="FFFFFF"/>
              </w:rPr>
              <w:t>7590 </w:t>
            </w:r>
          </w:p>
        </w:tc>
        <w:tc>
          <w:tcPr>
            <w:tcW w:w="1134" w:type="dxa"/>
          </w:tcPr>
          <w:p w14:paraId="321BABB0" w14:textId="77777777" w:rsidR="00FE1C11" w:rsidRPr="00007D3B" w:rsidRDefault="00FE1C11" w:rsidP="00AA1ABE">
            <w:pPr>
              <w:rPr>
                <w:rFonts w:cstheme="minorHAnsi"/>
                <w:sz w:val="20"/>
                <w:szCs w:val="20"/>
              </w:rPr>
            </w:pPr>
            <w:r>
              <w:rPr>
                <w:rFonts w:cstheme="minorHAnsi"/>
                <w:sz w:val="20"/>
                <w:szCs w:val="20"/>
              </w:rPr>
              <w:t>All patients up to 15</w:t>
            </w:r>
            <w:r w:rsidRPr="005404C5">
              <w:rPr>
                <w:rFonts w:cstheme="minorHAnsi"/>
                <w:sz w:val="20"/>
                <w:szCs w:val="20"/>
                <w:vertAlign w:val="superscript"/>
              </w:rPr>
              <w:t>th</w:t>
            </w:r>
            <w:r>
              <w:rPr>
                <w:rFonts w:cstheme="minorHAnsi"/>
                <w:sz w:val="20"/>
                <w:szCs w:val="20"/>
              </w:rPr>
              <w:t xml:space="preserve"> May 2020</w:t>
            </w:r>
          </w:p>
        </w:tc>
        <w:tc>
          <w:tcPr>
            <w:tcW w:w="1134" w:type="dxa"/>
          </w:tcPr>
          <w:p w14:paraId="6A965CD2" w14:textId="77777777" w:rsidR="00FE1C11" w:rsidRPr="00007D3B" w:rsidRDefault="00FE1C11" w:rsidP="00AA1ABE">
            <w:pPr>
              <w:rPr>
                <w:rFonts w:cstheme="minorHAnsi"/>
                <w:sz w:val="20"/>
                <w:szCs w:val="20"/>
              </w:rPr>
            </w:pPr>
            <w:r w:rsidRPr="00007D3B">
              <w:rPr>
                <w:rFonts w:cstheme="minorHAnsi"/>
                <w:sz w:val="20"/>
                <w:szCs w:val="20"/>
              </w:rPr>
              <w:t>Korea</w:t>
            </w:r>
          </w:p>
        </w:tc>
        <w:tc>
          <w:tcPr>
            <w:tcW w:w="1418" w:type="dxa"/>
          </w:tcPr>
          <w:p w14:paraId="2573D4FC" w14:textId="77777777" w:rsidR="00FE1C11" w:rsidRPr="00007D3B" w:rsidRDefault="00FE1C11" w:rsidP="00AA1ABE">
            <w:pPr>
              <w:rPr>
                <w:rFonts w:cstheme="minorHAnsi"/>
                <w:sz w:val="20"/>
                <w:szCs w:val="20"/>
              </w:rPr>
            </w:pPr>
            <w:r>
              <w:rPr>
                <w:rFonts w:cstheme="minorHAnsi"/>
                <w:sz w:val="20"/>
                <w:szCs w:val="20"/>
              </w:rPr>
              <w:t>328 (</w:t>
            </w:r>
            <w:r w:rsidRPr="00007D3B">
              <w:rPr>
                <w:rFonts w:cstheme="minorHAnsi"/>
                <w:sz w:val="20"/>
                <w:szCs w:val="20"/>
              </w:rPr>
              <w:t>4.5%</w:t>
            </w:r>
            <w:r>
              <w:rPr>
                <w:rFonts w:cstheme="minorHAnsi"/>
                <w:sz w:val="20"/>
                <w:szCs w:val="20"/>
              </w:rPr>
              <w:t>)</w:t>
            </w:r>
          </w:p>
        </w:tc>
        <w:tc>
          <w:tcPr>
            <w:tcW w:w="2551" w:type="dxa"/>
          </w:tcPr>
          <w:p w14:paraId="67BE8237" w14:textId="77777777" w:rsidR="00FE1C11" w:rsidRPr="00007D3B" w:rsidRDefault="00FE1C11" w:rsidP="00AA1ABE">
            <w:pPr>
              <w:rPr>
                <w:rFonts w:cstheme="minorHAnsi"/>
                <w:sz w:val="20"/>
                <w:szCs w:val="20"/>
              </w:rPr>
            </w:pPr>
            <w:r w:rsidRPr="00007D3B">
              <w:rPr>
                <w:rFonts w:cstheme="minorHAnsi"/>
                <w:sz w:val="20"/>
                <w:szCs w:val="20"/>
              </w:rPr>
              <w:t>Gender (m&gt;F)</w:t>
            </w:r>
          </w:p>
          <w:p w14:paraId="12965A70" w14:textId="77777777" w:rsidR="00FE1C11" w:rsidRPr="00007D3B" w:rsidRDefault="00FE1C11" w:rsidP="00AA1ABE">
            <w:pPr>
              <w:rPr>
                <w:rFonts w:cstheme="minorHAnsi"/>
                <w:sz w:val="20"/>
                <w:szCs w:val="20"/>
              </w:rPr>
            </w:pPr>
            <w:r w:rsidRPr="00007D3B">
              <w:rPr>
                <w:rFonts w:cstheme="minorHAnsi"/>
                <w:sz w:val="20"/>
                <w:szCs w:val="20"/>
              </w:rPr>
              <w:t>Age &gt;65</w:t>
            </w:r>
          </w:p>
          <w:p w14:paraId="2D184817" w14:textId="77777777" w:rsidR="00FE1C11" w:rsidRPr="00007D3B" w:rsidRDefault="00FE1C11" w:rsidP="00AA1ABE">
            <w:pPr>
              <w:rPr>
                <w:rFonts w:cstheme="minorHAnsi"/>
                <w:sz w:val="20"/>
                <w:szCs w:val="20"/>
              </w:rPr>
            </w:pPr>
            <w:r w:rsidRPr="00007D3B">
              <w:rPr>
                <w:rFonts w:cstheme="minorHAnsi"/>
                <w:sz w:val="20"/>
                <w:szCs w:val="20"/>
              </w:rPr>
              <w:t>Co-morbidities (</w:t>
            </w:r>
            <w:r>
              <w:rPr>
                <w:rFonts w:cstheme="minorHAnsi"/>
                <w:sz w:val="20"/>
                <w:szCs w:val="20"/>
              </w:rPr>
              <w:t>CCI score</w:t>
            </w:r>
            <w:bookmarkStart w:id="11" w:name="_Hlk61940032"/>
            <w:r>
              <w:rPr>
                <w:rFonts w:cstheme="minorHAnsi"/>
                <w:sz w:val="20"/>
                <w:szCs w:val="20"/>
              </w:rPr>
              <w:t>≥</w:t>
            </w:r>
            <w:bookmarkEnd w:id="11"/>
            <w:r>
              <w:rPr>
                <w:rFonts w:cstheme="minorHAnsi"/>
                <w:sz w:val="20"/>
                <w:szCs w:val="20"/>
              </w:rPr>
              <w:t>2)</w:t>
            </w:r>
            <w:r w:rsidRPr="00007D3B">
              <w:rPr>
                <w:rFonts w:cstheme="minorHAnsi"/>
                <w:sz w:val="20"/>
                <w:szCs w:val="20"/>
              </w:rPr>
              <w:t xml:space="preserve"> diabetes hypertension</w:t>
            </w:r>
            <w:r>
              <w:rPr>
                <w:rFonts w:cstheme="minorHAnsi"/>
                <w:sz w:val="20"/>
                <w:szCs w:val="20"/>
              </w:rPr>
              <w:t xml:space="preserve">, </w:t>
            </w:r>
            <w:proofErr w:type="spellStart"/>
            <w:r>
              <w:rPr>
                <w:rFonts w:cstheme="minorHAnsi"/>
                <w:sz w:val="20"/>
                <w:szCs w:val="20"/>
              </w:rPr>
              <w:t>demenia</w:t>
            </w:r>
            <w:proofErr w:type="spellEnd"/>
            <w:r w:rsidRPr="00007D3B">
              <w:rPr>
                <w:rFonts w:cstheme="minorHAnsi"/>
                <w:sz w:val="20"/>
                <w:szCs w:val="20"/>
              </w:rPr>
              <w:t>)</w:t>
            </w:r>
          </w:p>
          <w:p w14:paraId="17926630" w14:textId="77777777" w:rsidR="00FE1C11" w:rsidRPr="00007D3B" w:rsidRDefault="00FE1C11" w:rsidP="00AA1ABE">
            <w:pPr>
              <w:rPr>
                <w:rFonts w:cstheme="minorHAnsi"/>
                <w:sz w:val="20"/>
                <w:szCs w:val="20"/>
              </w:rPr>
            </w:pPr>
            <w:r w:rsidRPr="00007D3B">
              <w:rPr>
                <w:rFonts w:cstheme="minorHAnsi"/>
                <w:sz w:val="20"/>
                <w:szCs w:val="20"/>
              </w:rPr>
              <w:t xml:space="preserve">Length of stay </w:t>
            </w:r>
            <w:proofErr w:type="gramStart"/>
            <w:r w:rsidRPr="00007D3B">
              <w:rPr>
                <w:rFonts w:cstheme="minorHAnsi"/>
                <w:sz w:val="20"/>
                <w:szCs w:val="20"/>
              </w:rPr>
              <w:t>( shorter</w:t>
            </w:r>
            <w:proofErr w:type="gramEnd"/>
            <w:r w:rsidRPr="00007D3B">
              <w:rPr>
                <w:rFonts w:cstheme="minorHAnsi"/>
                <w:sz w:val="20"/>
                <w:szCs w:val="20"/>
              </w:rPr>
              <w:t xml:space="preserve"> worse)</w:t>
            </w:r>
          </w:p>
          <w:p w14:paraId="6666EC05" w14:textId="77777777" w:rsidR="00FE1C11" w:rsidRDefault="00FE1C11" w:rsidP="00AA1ABE">
            <w:pPr>
              <w:rPr>
                <w:rFonts w:cstheme="minorHAnsi"/>
                <w:sz w:val="20"/>
                <w:szCs w:val="20"/>
              </w:rPr>
            </w:pPr>
            <w:r>
              <w:rPr>
                <w:rFonts w:cstheme="minorHAnsi"/>
                <w:sz w:val="20"/>
                <w:szCs w:val="20"/>
              </w:rPr>
              <w:t>Reduced u</w:t>
            </w:r>
            <w:r w:rsidRPr="00007D3B">
              <w:rPr>
                <w:rFonts w:cstheme="minorHAnsi"/>
                <w:sz w:val="20"/>
                <w:szCs w:val="20"/>
              </w:rPr>
              <w:t xml:space="preserve">se of </w:t>
            </w:r>
          </w:p>
          <w:p w14:paraId="15795895" w14:textId="77777777" w:rsidR="00FE1C11" w:rsidRPr="00007D3B" w:rsidRDefault="00FE1C11" w:rsidP="00AA1ABE">
            <w:pPr>
              <w:rPr>
                <w:rFonts w:cstheme="minorHAnsi"/>
                <w:sz w:val="20"/>
                <w:szCs w:val="20"/>
              </w:rPr>
            </w:pPr>
            <w:r w:rsidRPr="00007D3B">
              <w:rPr>
                <w:rFonts w:cstheme="minorHAnsi"/>
                <w:sz w:val="20"/>
                <w:szCs w:val="20"/>
              </w:rPr>
              <w:t xml:space="preserve">investigations CXR, CT, </w:t>
            </w:r>
          </w:p>
        </w:tc>
        <w:tc>
          <w:tcPr>
            <w:tcW w:w="1134" w:type="dxa"/>
          </w:tcPr>
          <w:p w14:paraId="6B47FAA8" w14:textId="77777777" w:rsidR="00FE1C11" w:rsidRPr="00007D3B" w:rsidRDefault="00FE1C11" w:rsidP="00AA1ABE">
            <w:pPr>
              <w:rPr>
                <w:rFonts w:cstheme="minorHAnsi"/>
                <w:sz w:val="20"/>
                <w:szCs w:val="20"/>
              </w:rPr>
            </w:pPr>
            <w:r>
              <w:rPr>
                <w:rFonts w:cstheme="minorHAnsi"/>
                <w:sz w:val="20"/>
                <w:szCs w:val="20"/>
              </w:rPr>
              <w:t>Not stated</w:t>
            </w:r>
          </w:p>
        </w:tc>
        <w:tc>
          <w:tcPr>
            <w:tcW w:w="1479" w:type="dxa"/>
          </w:tcPr>
          <w:p w14:paraId="4367F784" w14:textId="77777777" w:rsidR="00FE1C11" w:rsidRPr="00007D3B" w:rsidRDefault="00FE1C11" w:rsidP="00AA1ABE">
            <w:pPr>
              <w:rPr>
                <w:rFonts w:cstheme="minorHAnsi"/>
                <w:sz w:val="20"/>
                <w:szCs w:val="20"/>
              </w:rPr>
            </w:pPr>
            <w:r>
              <w:rPr>
                <w:rFonts w:cstheme="minorHAnsi"/>
                <w:sz w:val="20"/>
                <w:szCs w:val="20"/>
              </w:rPr>
              <w:t>Not stated</w:t>
            </w:r>
          </w:p>
        </w:tc>
      </w:tr>
      <w:tr w:rsidR="00FE1C11" w:rsidRPr="00007D3B" w14:paraId="0EB5AAD0" w14:textId="77777777" w:rsidTr="00AA1ABE">
        <w:tc>
          <w:tcPr>
            <w:tcW w:w="3964" w:type="dxa"/>
          </w:tcPr>
          <w:p w14:paraId="455AA43F" w14:textId="77777777" w:rsidR="00FE1C11" w:rsidRPr="00007D3B" w:rsidRDefault="00FE1C11" w:rsidP="00AA1ABE">
            <w:pPr>
              <w:rPr>
                <w:rFonts w:cstheme="minorHAnsi"/>
                <w:sz w:val="20"/>
                <w:szCs w:val="20"/>
              </w:rPr>
            </w:pPr>
            <w:bookmarkStart w:id="12" w:name="_Hlk61939040"/>
            <w:proofErr w:type="spellStart"/>
            <w:r w:rsidRPr="00007D3B">
              <w:rPr>
                <w:rFonts w:cstheme="minorHAnsi"/>
                <w:color w:val="212121"/>
                <w:sz w:val="20"/>
                <w:szCs w:val="20"/>
                <w:shd w:val="clear" w:color="auto" w:fill="FFFFFF"/>
              </w:rPr>
              <w:t>Somani</w:t>
            </w:r>
            <w:proofErr w:type="spellEnd"/>
            <w:r w:rsidRPr="00007D3B">
              <w:rPr>
                <w:rFonts w:cstheme="minorHAnsi"/>
                <w:color w:val="212121"/>
                <w:sz w:val="20"/>
                <w:szCs w:val="20"/>
                <w:shd w:val="clear" w:color="auto" w:fill="FFFFFF"/>
              </w:rPr>
              <w:t xml:space="preserve"> S, Richter F, </w:t>
            </w:r>
            <w:proofErr w:type="spellStart"/>
            <w:r w:rsidRPr="00007D3B">
              <w:rPr>
                <w:rFonts w:cstheme="minorHAnsi"/>
                <w:color w:val="212121"/>
                <w:sz w:val="20"/>
                <w:szCs w:val="20"/>
                <w:shd w:val="clear" w:color="auto" w:fill="FFFFFF"/>
              </w:rPr>
              <w:t>Fuster</w:t>
            </w:r>
            <w:proofErr w:type="spellEnd"/>
            <w:r w:rsidRPr="00007D3B">
              <w:rPr>
                <w:rFonts w:cstheme="minorHAnsi"/>
                <w:color w:val="212121"/>
                <w:sz w:val="20"/>
                <w:szCs w:val="20"/>
                <w:shd w:val="clear" w:color="auto" w:fill="FFFFFF"/>
              </w:rPr>
              <w:t xml:space="preserve"> V, De Freitas J, Naik N, Sigel K, </w:t>
            </w:r>
            <w:proofErr w:type="spellStart"/>
            <w:r w:rsidRPr="00007D3B">
              <w:rPr>
                <w:rFonts w:cstheme="minorHAnsi"/>
                <w:color w:val="212121"/>
                <w:sz w:val="20"/>
                <w:szCs w:val="20"/>
                <w:shd w:val="clear" w:color="auto" w:fill="FFFFFF"/>
              </w:rPr>
              <w:t>Boettinger</w:t>
            </w:r>
            <w:proofErr w:type="spellEnd"/>
            <w:r w:rsidRPr="00007D3B">
              <w:rPr>
                <w:rFonts w:cstheme="minorHAnsi"/>
                <w:color w:val="212121"/>
                <w:sz w:val="20"/>
                <w:szCs w:val="20"/>
                <w:shd w:val="clear" w:color="auto" w:fill="FFFFFF"/>
              </w:rPr>
              <w:t xml:space="preserve"> EP, Levin MA, </w:t>
            </w:r>
            <w:proofErr w:type="spellStart"/>
            <w:r w:rsidRPr="00007D3B">
              <w:rPr>
                <w:rFonts w:cstheme="minorHAnsi"/>
                <w:color w:val="212121"/>
                <w:sz w:val="20"/>
                <w:szCs w:val="20"/>
                <w:shd w:val="clear" w:color="auto" w:fill="FFFFFF"/>
              </w:rPr>
              <w:t>Fayad</w:t>
            </w:r>
            <w:proofErr w:type="spellEnd"/>
            <w:r w:rsidRPr="00007D3B">
              <w:rPr>
                <w:rFonts w:cstheme="minorHAnsi"/>
                <w:color w:val="212121"/>
                <w:sz w:val="20"/>
                <w:szCs w:val="20"/>
                <w:shd w:val="clear" w:color="auto" w:fill="FFFFFF"/>
              </w:rPr>
              <w:t xml:space="preserve"> Z, Just AC, Charney A, Zhao S, </w:t>
            </w:r>
            <w:proofErr w:type="spellStart"/>
            <w:r w:rsidRPr="00007D3B">
              <w:rPr>
                <w:rFonts w:cstheme="minorHAnsi"/>
                <w:color w:val="212121"/>
                <w:sz w:val="20"/>
                <w:szCs w:val="20"/>
                <w:shd w:val="clear" w:color="auto" w:fill="FFFFFF"/>
              </w:rPr>
              <w:t>Glicksberg</w:t>
            </w:r>
            <w:proofErr w:type="spellEnd"/>
            <w:r w:rsidRPr="00007D3B">
              <w:rPr>
                <w:rFonts w:cstheme="minorHAnsi"/>
                <w:color w:val="212121"/>
                <w:sz w:val="20"/>
                <w:szCs w:val="20"/>
                <w:shd w:val="clear" w:color="auto" w:fill="FFFFFF"/>
              </w:rPr>
              <w:t xml:space="preserve"> BS, Lala A, Nadkarni G. Characterization of Patients Who Return to Hospital Following Discharge from Hospitalization For COVID-19. </w:t>
            </w:r>
            <w:proofErr w:type="spellStart"/>
            <w:r w:rsidRPr="00007D3B">
              <w:rPr>
                <w:rFonts w:cstheme="minorHAnsi"/>
                <w:color w:val="212121"/>
                <w:sz w:val="20"/>
                <w:szCs w:val="20"/>
                <w:shd w:val="clear" w:color="auto" w:fill="FFFFFF"/>
              </w:rPr>
              <w:t>medRxiv</w:t>
            </w:r>
            <w:proofErr w:type="spellEnd"/>
            <w:r w:rsidRPr="00007D3B">
              <w:rPr>
                <w:rFonts w:cstheme="minorHAnsi"/>
                <w:color w:val="212121"/>
                <w:sz w:val="20"/>
                <w:szCs w:val="20"/>
                <w:shd w:val="clear" w:color="auto" w:fill="FFFFFF"/>
              </w:rPr>
              <w:t xml:space="preserve"> [Preprint]. 2020 May 22:2020.05.17.20104604. </w:t>
            </w:r>
            <w:proofErr w:type="spellStart"/>
            <w:r w:rsidRPr="00007D3B">
              <w:rPr>
                <w:rFonts w:cstheme="minorHAnsi"/>
                <w:color w:val="212121"/>
                <w:sz w:val="20"/>
                <w:szCs w:val="20"/>
                <w:shd w:val="clear" w:color="auto" w:fill="FFFFFF"/>
              </w:rPr>
              <w:t>doi</w:t>
            </w:r>
            <w:proofErr w:type="spellEnd"/>
            <w:r w:rsidRPr="00007D3B">
              <w:rPr>
                <w:rFonts w:cstheme="minorHAnsi"/>
                <w:color w:val="212121"/>
                <w:sz w:val="20"/>
                <w:szCs w:val="20"/>
                <w:shd w:val="clear" w:color="auto" w:fill="FFFFFF"/>
              </w:rPr>
              <w:t xml:space="preserve">: 10.1101/2020.05.17.20104604. Update in: J Gen Intern Med. 2020 Aug </w:t>
            </w:r>
            <w:proofErr w:type="gramStart"/>
            <w:r w:rsidRPr="00007D3B">
              <w:rPr>
                <w:rFonts w:cstheme="minorHAnsi"/>
                <w:color w:val="212121"/>
                <w:sz w:val="20"/>
                <w:szCs w:val="20"/>
                <w:shd w:val="clear" w:color="auto" w:fill="FFFFFF"/>
              </w:rPr>
              <w:t>19;:</w:t>
            </w:r>
            <w:proofErr w:type="gramEnd"/>
            <w:r w:rsidRPr="00007D3B">
              <w:rPr>
                <w:rFonts w:cstheme="minorHAnsi"/>
                <w:color w:val="212121"/>
                <w:sz w:val="20"/>
                <w:szCs w:val="20"/>
                <w:shd w:val="clear" w:color="auto" w:fill="FFFFFF"/>
              </w:rPr>
              <w:t xml:space="preserve"> PMID: 32511547; PMCID: PMC7274228.</w:t>
            </w:r>
            <w:bookmarkEnd w:id="12"/>
          </w:p>
        </w:tc>
        <w:tc>
          <w:tcPr>
            <w:tcW w:w="1134" w:type="dxa"/>
          </w:tcPr>
          <w:p w14:paraId="415BD2E3" w14:textId="77777777" w:rsidR="00FE1C11" w:rsidRPr="00007D3B" w:rsidRDefault="00FE1C11" w:rsidP="00AA1ABE">
            <w:pPr>
              <w:rPr>
                <w:rFonts w:cstheme="minorHAnsi"/>
                <w:sz w:val="20"/>
                <w:szCs w:val="20"/>
              </w:rPr>
            </w:pPr>
            <w:r w:rsidRPr="00007D3B">
              <w:rPr>
                <w:rFonts w:cstheme="minorHAnsi"/>
                <w:color w:val="131413"/>
                <w:sz w:val="20"/>
                <w:szCs w:val="20"/>
              </w:rPr>
              <w:t xml:space="preserve">2864 </w:t>
            </w:r>
          </w:p>
        </w:tc>
        <w:tc>
          <w:tcPr>
            <w:tcW w:w="1134" w:type="dxa"/>
          </w:tcPr>
          <w:p w14:paraId="7AB62BAC" w14:textId="77777777" w:rsidR="00FE1C11" w:rsidRPr="00007D3B" w:rsidRDefault="00FE1C11" w:rsidP="00AA1ABE">
            <w:pPr>
              <w:autoSpaceDE w:val="0"/>
              <w:autoSpaceDN w:val="0"/>
              <w:adjustRightInd w:val="0"/>
              <w:rPr>
                <w:rFonts w:cstheme="minorHAnsi"/>
                <w:color w:val="131413"/>
                <w:sz w:val="20"/>
                <w:szCs w:val="20"/>
              </w:rPr>
            </w:pPr>
            <w:r w:rsidRPr="00007D3B">
              <w:rPr>
                <w:rFonts w:cstheme="minorHAnsi"/>
                <w:color w:val="131413"/>
                <w:sz w:val="20"/>
                <w:szCs w:val="20"/>
              </w:rPr>
              <w:t>February</w:t>
            </w:r>
          </w:p>
          <w:p w14:paraId="39B66430" w14:textId="77777777" w:rsidR="00FE1C11" w:rsidRPr="00007D3B" w:rsidRDefault="00FE1C11" w:rsidP="00AA1ABE">
            <w:pPr>
              <w:rPr>
                <w:rFonts w:cstheme="minorHAnsi"/>
                <w:sz w:val="20"/>
                <w:szCs w:val="20"/>
              </w:rPr>
            </w:pPr>
            <w:r w:rsidRPr="00007D3B">
              <w:rPr>
                <w:rFonts w:cstheme="minorHAnsi"/>
                <w:color w:val="131413"/>
                <w:sz w:val="20"/>
                <w:szCs w:val="20"/>
              </w:rPr>
              <w:t>27 and April 12, 2020,</w:t>
            </w:r>
          </w:p>
          <w:p w14:paraId="252E6546" w14:textId="77777777" w:rsidR="00FE1C11" w:rsidRPr="00007D3B" w:rsidRDefault="00FE1C11" w:rsidP="00AA1ABE">
            <w:pPr>
              <w:jc w:val="center"/>
              <w:rPr>
                <w:rFonts w:cstheme="minorHAnsi"/>
                <w:sz w:val="20"/>
                <w:szCs w:val="20"/>
              </w:rPr>
            </w:pPr>
          </w:p>
        </w:tc>
        <w:tc>
          <w:tcPr>
            <w:tcW w:w="1134" w:type="dxa"/>
          </w:tcPr>
          <w:p w14:paraId="7FEFEE1D" w14:textId="77777777" w:rsidR="00FE1C11" w:rsidRPr="00007D3B" w:rsidRDefault="00FE1C11" w:rsidP="00AA1ABE">
            <w:pPr>
              <w:rPr>
                <w:rFonts w:cstheme="minorHAnsi"/>
                <w:sz w:val="20"/>
                <w:szCs w:val="20"/>
              </w:rPr>
            </w:pPr>
            <w:r w:rsidRPr="00007D3B">
              <w:rPr>
                <w:rFonts w:cstheme="minorHAnsi"/>
                <w:sz w:val="20"/>
                <w:szCs w:val="20"/>
              </w:rPr>
              <w:t>New York USA</w:t>
            </w:r>
          </w:p>
        </w:tc>
        <w:tc>
          <w:tcPr>
            <w:tcW w:w="1418" w:type="dxa"/>
          </w:tcPr>
          <w:p w14:paraId="328EDDE0" w14:textId="77777777" w:rsidR="00FE1C11" w:rsidRPr="00007D3B" w:rsidRDefault="00FE1C11" w:rsidP="00AA1ABE">
            <w:pPr>
              <w:rPr>
                <w:rFonts w:cstheme="minorHAnsi"/>
                <w:sz w:val="20"/>
                <w:szCs w:val="20"/>
              </w:rPr>
            </w:pPr>
            <w:r w:rsidRPr="00007D3B">
              <w:rPr>
                <w:rFonts w:cstheme="minorHAnsi"/>
                <w:color w:val="131413"/>
                <w:sz w:val="20"/>
                <w:szCs w:val="20"/>
              </w:rPr>
              <w:t>103 (3.6%)</w:t>
            </w:r>
          </w:p>
        </w:tc>
        <w:tc>
          <w:tcPr>
            <w:tcW w:w="2551" w:type="dxa"/>
          </w:tcPr>
          <w:p w14:paraId="2DE2A049" w14:textId="77777777" w:rsidR="00FE1C11" w:rsidRPr="00007D3B" w:rsidRDefault="00FE1C11" w:rsidP="00AA1ABE">
            <w:pPr>
              <w:rPr>
                <w:rFonts w:cstheme="minorHAnsi"/>
                <w:sz w:val="20"/>
                <w:szCs w:val="20"/>
              </w:rPr>
            </w:pPr>
            <w:r w:rsidRPr="00007D3B">
              <w:rPr>
                <w:rFonts w:cstheme="minorHAnsi"/>
                <w:sz w:val="20"/>
                <w:szCs w:val="20"/>
              </w:rPr>
              <w:t>COPD, hypertension</w:t>
            </w:r>
          </w:p>
          <w:p w14:paraId="6A2BD60D" w14:textId="77777777" w:rsidR="00FE1C11" w:rsidRPr="00007D3B" w:rsidRDefault="00FE1C11" w:rsidP="00AA1ABE">
            <w:pPr>
              <w:rPr>
                <w:rFonts w:cstheme="minorHAnsi"/>
                <w:sz w:val="20"/>
                <w:szCs w:val="20"/>
              </w:rPr>
            </w:pPr>
            <w:r w:rsidRPr="00007D3B">
              <w:rPr>
                <w:rFonts w:cstheme="minorHAnsi"/>
                <w:sz w:val="20"/>
                <w:szCs w:val="20"/>
              </w:rPr>
              <w:t>Length of stay shorter 4.5 v 6.7 less likely to have required ICU and anticoagulation pulse oximetry 96 (as opposed to 95)</w:t>
            </w:r>
          </w:p>
          <w:p w14:paraId="2EBFA024" w14:textId="77777777" w:rsidR="00FE1C11" w:rsidRPr="00007D3B" w:rsidRDefault="00FE1C11" w:rsidP="00AA1ABE">
            <w:pPr>
              <w:rPr>
                <w:rFonts w:cstheme="minorHAnsi"/>
                <w:sz w:val="20"/>
                <w:szCs w:val="20"/>
              </w:rPr>
            </w:pPr>
            <w:r w:rsidRPr="00007D3B">
              <w:rPr>
                <w:rFonts w:cstheme="minorHAnsi"/>
                <w:sz w:val="20"/>
                <w:szCs w:val="20"/>
              </w:rPr>
              <w:t>BMI lower</w:t>
            </w:r>
          </w:p>
        </w:tc>
        <w:tc>
          <w:tcPr>
            <w:tcW w:w="1134" w:type="dxa"/>
          </w:tcPr>
          <w:p w14:paraId="086F62BE" w14:textId="77777777" w:rsidR="00FE1C11" w:rsidRPr="00007D3B" w:rsidRDefault="00FE1C11" w:rsidP="00AA1ABE">
            <w:pPr>
              <w:rPr>
                <w:rFonts w:cstheme="minorHAnsi"/>
                <w:sz w:val="20"/>
                <w:szCs w:val="20"/>
              </w:rPr>
            </w:pPr>
            <w:r w:rsidRPr="00007D3B">
              <w:rPr>
                <w:rFonts w:cstheme="minorHAnsi"/>
                <w:sz w:val="20"/>
                <w:szCs w:val="20"/>
              </w:rPr>
              <w:t>Median 4.5 days</w:t>
            </w:r>
          </w:p>
        </w:tc>
        <w:tc>
          <w:tcPr>
            <w:tcW w:w="1479" w:type="dxa"/>
          </w:tcPr>
          <w:p w14:paraId="342BC873" w14:textId="77777777" w:rsidR="00FE1C11" w:rsidRPr="00007D3B" w:rsidRDefault="00FE1C11" w:rsidP="00AA1ABE">
            <w:pPr>
              <w:rPr>
                <w:rFonts w:cstheme="minorHAnsi"/>
                <w:sz w:val="20"/>
                <w:szCs w:val="20"/>
              </w:rPr>
            </w:pPr>
            <w:r w:rsidRPr="00007D3B">
              <w:rPr>
                <w:rFonts w:cstheme="minorHAnsi"/>
                <w:color w:val="131413"/>
                <w:sz w:val="20"/>
                <w:szCs w:val="20"/>
              </w:rPr>
              <w:t>respiratory distress (50%).</w:t>
            </w:r>
          </w:p>
        </w:tc>
      </w:tr>
      <w:tr w:rsidR="00FE1C11" w:rsidRPr="00007D3B" w14:paraId="2E1BE710" w14:textId="77777777" w:rsidTr="00AA1ABE">
        <w:tc>
          <w:tcPr>
            <w:tcW w:w="3964" w:type="dxa"/>
          </w:tcPr>
          <w:p w14:paraId="6A66A887" w14:textId="77777777" w:rsidR="00FE1C11" w:rsidRPr="00007D3B" w:rsidRDefault="00FE1C11" w:rsidP="00AA1ABE">
            <w:pPr>
              <w:rPr>
                <w:rFonts w:cstheme="minorHAnsi"/>
                <w:sz w:val="20"/>
                <w:szCs w:val="20"/>
              </w:rPr>
            </w:pPr>
            <w:bookmarkStart w:id="13" w:name="_Hlk61939078"/>
            <w:r w:rsidRPr="00007D3B">
              <w:rPr>
                <w:rFonts w:cstheme="minorHAnsi"/>
                <w:color w:val="212121"/>
                <w:sz w:val="20"/>
                <w:szCs w:val="20"/>
                <w:shd w:val="clear" w:color="auto" w:fill="FFFFFF"/>
              </w:rPr>
              <w:t xml:space="preserve">Donnelly JP, Wang XQ, </w:t>
            </w:r>
            <w:proofErr w:type="spellStart"/>
            <w:r w:rsidRPr="00007D3B">
              <w:rPr>
                <w:rFonts w:cstheme="minorHAnsi"/>
                <w:color w:val="212121"/>
                <w:sz w:val="20"/>
                <w:szCs w:val="20"/>
                <w:shd w:val="clear" w:color="auto" w:fill="FFFFFF"/>
              </w:rPr>
              <w:t>Iwashyna</w:t>
            </w:r>
            <w:proofErr w:type="spellEnd"/>
            <w:r w:rsidRPr="00007D3B">
              <w:rPr>
                <w:rFonts w:cstheme="minorHAnsi"/>
                <w:color w:val="212121"/>
                <w:sz w:val="20"/>
                <w:szCs w:val="20"/>
                <w:shd w:val="clear" w:color="auto" w:fill="FFFFFF"/>
              </w:rPr>
              <w:t xml:space="preserve"> TJ, Prescott HC. Readmission and Death After Initial Hospital Discharge Among Patients With COVID-19 in a Large Multihospital System. JAMA. 2020 Dec </w:t>
            </w:r>
            <w:proofErr w:type="gramStart"/>
            <w:r w:rsidRPr="00007D3B">
              <w:rPr>
                <w:rFonts w:cstheme="minorHAnsi"/>
                <w:color w:val="212121"/>
                <w:sz w:val="20"/>
                <w:szCs w:val="20"/>
                <w:shd w:val="clear" w:color="auto" w:fill="FFFFFF"/>
              </w:rPr>
              <w:t>14:e</w:t>
            </w:r>
            <w:proofErr w:type="gramEnd"/>
            <w:r w:rsidRPr="00007D3B">
              <w:rPr>
                <w:rFonts w:cstheme="minorHAnsi"/>
                <w:color w:val="212121"/>
                <w:sz w:val="20"/>
                <w:szCs w:val="20"/>
                <w:shd w:val="clear" w:color="auto" w:fill="FFFFFF"/>
              </w:rPr>
              <w:t xml:space="preserve">2021465. </w:t>
            </w:r>
            <w:proofErr w:type="spellStart"/>
            <w:r w:rsidRPr="00007D3B">
              <w:rPr>
                <w:rFonts w:cstheme="minorHAnsi"/>
                <w:color w:val="212121"/>
                <w:sz w:val="20"/>
                <w:szCs w:val="20"/>
                <w:shd w:val="clear" w:color="auto" w:fill="FFFFFF"/>
              </w:rPr>
              <w:t>doi</w:t>
            </w:r>
            <w:proofErr w:type="spellEnd"/>
            <w:r w:rsidRPr="00007D3B">
              <w:rPr>
                <w:rFonts w:cstheme="minorHAnsi"/>
                <w:color w:val="212121"/>
                <w:sz w:val="20"/>
                <w:szCs w:val="20"/>
                <w:shd w:val="clear" w:color="auto" w:fill="FFFFFF"/>
              </w:rPr>
              <w:t xml:space="preserve">: 10.1001/jama.2020.21465. </w:t>
            </w:r>
            <w:proofErr w:type="spellStart"/>
            <w:r w:rsidRPr="00007D3B">
              <w:rPr>
                <w:rFonts w:cstheme="minorHAnsi"/>
                <w:color w:val="212121"/>
                <w:sz w:val="20"/>
                <w:szCs w:val="20"/>
                <w:shd w:val="clear" w:color="auto" w:fill="FFFFFF"/>
              </w:rPr>
              <w:t>Epub</w:t>
            </w:r>
            <w:proofErr w:type="spellEnd"/>
            <w:r w:rsidRPr="00007D3B">
              <w:rPr>
                <w:rFonts w:cstheme="minorHAnsi"/>
                <w:color w:val="212121"/>
                <w:sz w:val="20"/>
                <w:szCs w:val="20"/>
                <w:shd w:val="clear" w:color="auto" w:fill="FFFFFF"/>
              </w:rPr>
              <w:t xml:space="preserve"> ahead of print. PMID: 33315057; PMCID: PMC7737131.</w:t>
            </w:r>
            <w:bookmarkEnd w:id="13"/>
          </w:p>
        </w:tc>
        <w:tc>
          <w:tcPr>
            <w:tcW w:w="1134" w:type="dxa"/>
          </w:tcPr>
          <w:p w14:paraId="7F5C415E" w14:textId="77777777" w:rsidR="00FE1C11" w:rsidRPr="00007D3B" w:rsidRDefault="00FE1C11" w:rsidP="00AA1ABE">
            <w:pPr>
              <w:rPr>
                <w:rFonts w:cstheme="minorHAnsi"/>
                <w:sz w:val="20"/>
                <w:szCs w:val="20"/>
              </w:rPr>
            </w:pPr>
            <w:r w:rsidRPr="00007D3B">
              <w:rPr>
                <w:rFonts w:cstheme="minorHAnsi"/>
                <w:sz w:val="20"/>
                <w:szCs w:val="20"/>
              </w:rPr>
              <w:t xml:space="preserve">1775 </w:t>
            </w:r>
          </w:p>
        </w:tc>
        <w:tc>
          <w:tcPr>
            <w:tcW w:w="1134" w:type="dxa"/>
          </w:tcPr>
          <w:p w14:paraId="1144BCCB" w14:textId="77777777" w:rsidR="00FE1C11" w:rsidRPr="00007D3B" w:rsidRDefault="00FE1C11" w:rsidP="00AA1ABE">
            <w:pPr>
              <w:rPr>
                <w:rFonts w:cstheme="minorHAnsi"/>
                <w:sz w:val="20"/>
                <w:szCs w:val="20"/>
              </w:rPr>
            </w:pPr>
            <w:r w:rsidRPr="00007D3B">
              <w:rPr>
                <w:rFonts w:cstheme="minorHAnsi"/>
                <w:sz w:val="20"/>
                <w:szCs w:val="20"/>
              </w:rPr>
              <w:t>March 1–June 1, 2020</w:t>
            </w:r>
          </w:p>
        </w:tc>
        <w:tc>
          <w:tcPr>
            <w:tcW w:w="1134" w:type="dxa"/>
          </w:tcPr>
          <w:p w14:paraId="150B8526" w14:textId="77777777" w:rsidR="00FE1C11" w:rsidRPr="00007D3B" w:rsidRDefault="00FE1C11" w:rsidP="00AA1ABE">
            <w:pPr>
              <w:rPr>
                <w:rFonts w:cstheme="minorHAnsi"/>
                <w:sz w:val="20"/>
                <w:szCs w:val="20"/>
              </w:rPr>
            </w:pPr>
            <w:r w:rsidRPr="00007D3B">
              <w:rPr>
                <w:rFonts w:cstheme="minorHAnsi"/>
                <w:sz w:val="20"/>
                <w:szCs w:val="20"/>
              </w:rPr>
              <w:t>USA Veterans administration 132 VA hospitals</w:t>
            </w:r>
          </w:p>
        </w:tc>
        <w:tc>
          <w:tcPr>
            <w:tcW w:w="1418" w:type="dxa"/>
          </w:tcPr>
          <w:p w14:paraId="75FFCEA1" w14:textId="77777777" w:rsidR="00FE1C11" w:rsidRPr="00007D3B" w:rsidRDefault="00FE1C11" w:rsidP="00AA1ABE">
            <w:pPr>
              <w:rPr>
                <w:rFonts w:cstheme="minorHAnsi"/>
                <w:sz w:val="20"/>
                <w:szCs w:val="20"/>
              </w:rPr>
            </w:pPr>
            <w:r w:rsidRPr="00007D3B">
              <w:rPr>
                <w:rFonts w:cstheme="minorHAnsi"/>
                <w:sz w:val="20"/>
                <w:szCs w:val="20"/>
              </w:rPr>
              <w:t>354 (19.9%)</w:t>
            </w:r>
          </w:p>
          <w:p w14:paraId="71A6EFCB" w14:textId="77777777" w:rsidR="00FE1C11" w:rsidRPr="00007D3B" w:rsidRDefault="00FE1C11" w:rsidP="00AA1ABE">
            <w:pPr>
              <w:rPr>
                <w:rFonts w:cstheme="minorHAnsi"/>
                <w:sz w:val="20"/>
                <w:szCs w:val="20"/>
              </w:rPr>
            </w:pPr>
          </w:p>
          <w:p w14:paraId="2C4A41F2" w14:textId="77777777" w:rsidR="00FE1C11" w:rsidRPr="00007D3B" w:rsidRDefault="00FE1C11" w:rsidP="00AA1ABE">
            <w:pPr>
              <w:rPr>
                <w:rFonts w:cstheme="minorHAnsi"/>
                <w:sz w:val="20"/>
                <w:szCs w:val="20"/>
              </w:rPr>
            </w:pPr>
            <w:r w:rsidRPr="00007D3B">
              <w:rPr>
                <w:rFonts w:cstheme="minorHAnsi"/>
                <w:sz w:val="20"/>
                <w:szCs w:val="20"/>
              </w:rPr>
              <w:t>(162 died</w:t>
            </w:r>
          </w:p>
        </w:tc>
        <w:tc>
          <w:tcPr>
            <w:tcW w:w="2551" w:type="dxa"/>
          </w:tcPr>
          <w:p w14:paraId="37D0BCDA" w14:textId="77777777" w:rsidR="00FE1C11" w:rsidRPr="00007D3B" w:rsidRDefault="00FE1C11" w:rsidP="00AA1ABE">
            <w:pPr>
              <w:rPr>
                <w:rFonts w:cstheme="minorHAnsi"/>
                <w:sz w:val="20"/>
                <w:szCs w:val="20"/>
              </w:rPr>
            </w:pPr>
            <w:r w:rsidRPr="00007D3B">
              <w:rPr>
                <w:rFonts w:cstheme="minorHAnsi"/>
                <w:sz w:val="20"/>
                <w:szCs w:val="20"/>
              </w:rPr>
              <w:t xml:space="preserve">Length of </w:t>
            </w:r>
            <w:proofErr w:type="gramStart"/>
            <w:r w:rsidRPr="00007D3B">
              <w:rPr>
                <w:rFonts w:cstheme="minorHAnsi"/>
                <w:sz w:val="20"/>
                <w:szCs w:val="20"/>
              </w:rPr>
              <w:t>stay  (</w:t>
            </w:r>
            <w:proofErr w:type="gramEnd"/>
            <w:r w:rsidRPr="00007D3B">
              <w:rPr>
                <w:rFonts w:cstheme="minorHAnsi"/>
                <w:sz w:val="20"/>
                <w:szCs w:val="20"/>
              </w:rPr>
              <w:t>shorter worse)</w:t>
            </w:r>
          </w:p>
        </w:tc>
        <w:tc>
          <w:tcPr>
            <w:tcW w:w="1134" w:type="dxa"/>
          </w:tcPr>
          <w:p w14:paraId="5DE9CC2A" w14:textId="77777777" w:rsidR="00FE1C11" w:rsidRPr="00007D3B" w:rsidRDefault="00FE1C11" w:rsidP="00AA1ABE">
            <w:pPr>
              <w:rPr>
                <w:rFonts w:cstheme="minorHAnsi"/>
                <w:sz w:val="20"/>
                <w:szCs w:val="20"/>
              </w:rPr>
            </w:pPr>
            <w:proofErr w:type="gramStart"/>
            <w:r w:rsidRPr="00007D3B">
              <w:rPr>
                <w:rFonts w:cstheme="minorHAnsi"/>
                <w:sz w:val="20"/>
                <w:szCs w:val="20"/>
              </w:rPr>
              <w:t>Within  first</w:t>
            </w:r>
            <w:proofErr w:type="gramEnd"/>
            <w:r w:rsidRPr="00007D3B">
              <w:rPr>
                <w:rFonts w:cstheme="minorHAnsi"/>
                <w:sz w:val="20"/>
                <w:szCs w:val="20"/>
              </w:rPr>
              <w:t xml:space="preserve"> 10 days ( for death or readmission 1.43 ( after less likely)</w:t>
            </w:r>
          </w:p>
        </w:tc>
        <w:tc>
          <w:tcPr>
            <w:tcW w:w="1479" w:type="dxa"/>
          </w:tcPr>
          <w:p w14:paraId="6D4A4058" w14:textId="77777777" w:rsidR="00FE1C11" w:rsidRPr="00007D3B" w:rsidRDefault="00FE1C11" w:rsidP="00AA1ABE">
            <w:pPr>
              <w:autoSpaceDE w:val="0"/>
              <w:autoSpaceDN w:val="0"/>
              <w:adjustRightInd w:val="0"/>
              <w:rPr>
                <w:rFonts w:cstheme="minorHAnsi"/>
                <w:sz w:val="20"/>
                <w:szCs w:val="20"/>
              </w:rPr>
            </w:pPr>
            <w:r w:rsidRPr="00007D3B">
              <w:rPr>
                <w:rFonts w:cstheme="minorHAnsi"/>
                <w:sz w:val="20"/>
                <w:szCs w:val="20"/>
              </w:rPr>
              <w:t xml:space="preserve">readmission diagnoses </w:t>
            </w:r>
          </w:p>
          <w:p w14:paraId="54936F0C" w14:textId="77777777" w:rsidR="00FE1C11" w:rsidRPr="00007D3B" w:rsidRDefault="00FE1C11" w:rsidP="00AA1ABE">
            <w:pPr>
              <w:autoSpaceDE w:val="0"/>
              <w:autoSpaceDN w:val="0"/>
              <w:adjustRightInd w:val="0"/>
              <w:rPr>
                <w:rFonts w:cstheme="minorHAnsi"/>
                <w:sz w:val="20"/>
                <w:szCs w:val="20"/>
              </w:rPr>
            </w:pPr>
            <w:r w:rsidRPr="00007D3B">
              <w:rPr>
                <w:rFonts w:cstheme="minorHAnsi"/>
                <w:sz w:val="20"/>
                <w:szCs w:val="20"/>
              </w:rPr>
              <w:t>COVID-19 (30.2%), sepsis (8.5%), pneumonia (3.1%), and heart</w:t>
            </w:r>
          </w:p>
          <w:p w14:paraId="3717FB99" w14:textId="77777777" w:rsidR="00FE1C11" w:rsidRPr="00007D3B" w:rsidRDefault="00FE1C11" w:rsidP="00AA1ABE">
            <w:pPr>
              <w:rPr>
                <w:rFonts w:cstheme="minorHAnsi"/>
                <w:sz w:val="20"/>
                <w:szCs w:val="20"/>
              </w:rPr>
            </w:pPr>
            <w:r w:rsidRPr="00007D3B">
              <w:rPr>
                <w:rFonts w:cstheme="minorHAnsi"/>
                <w:sz w:val="20"/>
                <w:szCs w:val="20"/>
              </w:rPr>
              <w:t>failure (3.1%).</w:t>
            </w:r>
          </w:p>
        </w:tc>
      </w:tr>
      <w:tr w:rsidR="00FE1C11" w:rsidRPr="00007D3B" w14:paraId="72023297" w14:textId="77777777" w:rsidTr="00AA1ABE">
        <w:tc>
          <w:tcPr>
            <w:tcW w:w="3964" w:type="dxa"/>
          </w:tcPr>
          <w:p w14:paraId="7F7C196A" w14:textId="77777777" w:rsidR="00FE1C11" w:rsidRPr="00D67871" w:rsidRDefault="00FE1C11" w:rsidP="00AA1ABE">
            <w:pPr>
              <w:rPr>
                <w:rFonts w:cstheme="minorHAnsi"/>
                <w:sz w:val="20"/>
                <w:szCs w:val="20"/>
              </w:rPr>
            </w:pPr>
            <w:bookmarkStart w:id="14" w:name="_Hlk61939154"/>
            <w:r w:rsidRPr="00D67871">
              <w:rPr>
                <w:rFonts w:cstheme="minorHAnsi"/>
                <w:color w:val="212121"/>
                <w:sz w:val="20"/>
                <w:szCs w:val="20"/>
                <w:shd w:val="clear" w:color="auto" w:fill="FFFFFF"/>
              </w:rPr>
              <w:t xml:space="preserve">Parra LM, </w:t>
            </w:r>
            <w:proofErr w:type="spellStart"/>
            <w:r w:rsidRPr="00D67871">
              <w:rPr>
                <w:rFonts w:cstheme="minorHAnsi"/>
                <w:color w:val="212121"/>
                <w:sz w:val="20"/>
                <w:szCs w:val="20"/>
                <w:shd w:val="clear" w:color="auto" w:fill="FFFFFF"/>
              </w:rPr>
              <w:t>Cantero</w:t>
            </w:r>
            <w:proofErr w:type="spellEnd"/>
            <w:r w:rsidRPr="00D67871">
              <w:rPr>
                <w:rFonts w:cstheme="minorHAnsi"/>
                <w:color w:val="212121"/>
                <w:sz w:val="20"/>
                <w:szCs w:val="20"/>
                <w:shd w:val="clear" w:color="auto" w:fill="FFFFFF"/>
              </w:rPr>
              <w:t xml:space="preserve"> M, </w:t>
            </w:r>
            <w:proofErr w:type="spellStart"/>
            <w:r w:rsidRPr="00D67871">
              <w:rPr>
                <w:rFonts w:cstheme="minorHAnsi"/>
                <w:color w:val="212121"/>
                <w:sz w:val="20"/>
                <w:szCs w:val="20"/>
                <w:shd w:val="clear" w:color="auto" w:fill="FFFFFF"/>
              </w:rPr>
              <w:t>Morrás</w:t>
            </w:r>
            <w:proofErr w:type="spellEnd"/>
            <w:r w:rsidRPr="00D67871">
              <w:rPr>
                <w:rFonts w:cstheme="minorHAnsi"/>
                <w:color w:val="212121"/>
                <w:sz w:val="20"/>
                <w:szCs w:val="20"/>
                <w:shd w:val="clear" w:color="auto" w:fill="FFFFFF"/>
              </w:rPr>
              <w:t xml:space="preserve"> I, Vallejo A, Diego I, Jiménez-</w:t>
            </w:r>
            <w:proofErr w:type="spellStart"/>
            <w:r w:rsidRPr="00D67871">
              <w:rPr>
                <w:rFonts w:cstheme="minorHAnsi"/>
                <w:color w:val="212121"/>
                <w:sz w:val="20"/>
                <w:szCs w:val="20"/>
                <w:shd w:val="clear" w:color="auto" w:fill="FFFFFF"/>
              </w:rPr>
              <w:t>Tejero</w:t>
            </w:r>
            <w:proofErr w:type="spellEnd"/>
            <w:r w:rsidRPr="00D67871">
              <w:rPr>
                <w:rFonts w:cstheme="minorHAnsi"/>
                <w:color w:val="212121"/>
                <w:sz w:val="20"/>
                <w:szCs w:val="20"/>
                <w:shd w:val="clear" w:color="auto" w:fill="FFFFFF"/>
              </w:rPr>
              <w:t xml:space="preserve"> E, </w:t>
            </w:r>
            <w:proofErr w:type="spellStart"/>
            <w:r w:rsidRPr="00D67871">
              <w:rPr>
                <w:rFonts w:cstheme="minorHAnsi"/>
                <w:color w:val="212121"/>
                <w:sz w:val="20"/>
                <w:szCs w:val="20"/>
                <w:shd w:val="clear" w:color="auto" w:fill="FFFFFF"/>
              </w:rPr>
              <w:t>Múñez</w:t>
            </w:r>
            <w:proofErr w:type="spellEnd"/>
            <w:r w:rsidRPr="00D67871">
              <w:rPr>
                <w:rFonts w:cstheme="minorHAnsi"/>
                <w:color w:val="212121"/>
                <w:sz w:val="20"/>
                <w:szCs w:val="20"/>
                <w:shd w:val="clear" w:color="auto" w:fill="FFFFFF"/>
              </w:rPr>
              <w:t xml:space="preserve"> E, Asensio Á, </w:t>
            </w:r>
            <w:proofErr w:type="spellStart"/>
            <w:r w:rsidRPr="00D67871">
              <w:rPr>
                <w:rFonts w:cstheme="minorHAnsi"/>
                <w:color w:val="212121"/>
                <w:sz w:val="20"/>
                <w:szCs w:val="20"/>
                <w:shd w:val="clear" w:color="auto" w:fill="FFFFFF"/>
              </w:rPr>
              <w:t>Fermández</w:t>
            </w:r>
            <w:proofErr w:type="spellEnd"/>
            <w:r w:rsidRPr="00D67871">
              <w:rPr>
                <w:rFonts w:cstheme="minorHAnsi"/>
                <w:color w:val="212121"/>
                <w:sz w:val="20"/>
                <w:szCs w:val="20"/>
                <w:shd w:val="clear" w:color="auto" w:fill="FFFFFF"/>
              </w:rPr>
              <w:t xml:space="preserve">-Cruz A, Ramos-Martinez A; Puerta de </w:t>
            </w:r>
            <w:proofErr w:type="spellStart"/>
            <w:r w:rsidRPr="00D67871">
              <w:rPr>
                <w:rFonts w:cstheme="minorHAnsi"/>
                <w:color w:val="212121"/>
                <w:sz w:val="20"/>
                <w:szCs w:val="20"/>
                <w:shd w:val="clear" w:color="auto" w:fill="FFFFFF"/>
              </w:rPr>
              <w:t>Hierro</w:t>
            </w:r>
            <w:proofErr w:type="spellEnd"/>
            <w:r w:rsidRPr="00D67871">
              <w:rPr>
                <w:rFonts w:cstheme="minorHAnsi"/>
                <w:color w:val="212121"/>
                <w:sz w:val="20"/>
                <w:szCs w:val="20"/>
                <w:shd w:val="clear" w:color="auto" w:fill="FFFFFF"/>
              </w:rPr>
              <w:t xml:space="preserve"> Hospital Admission Study Group. Hospital Readmissions of Discharged Patients with COVID-19. Int J Gen Med. 2020 Dec </w:t>
            </w:r>
            <w:proofErr w:type="gramStart"/>
            <w:r w:rsidRPr="00D67871">
              <w:rPr>
                <w:rFonts w:cstheme="minorHAnsi"/>
                <w:color w:val="212121"/>
                <w:sz w:val="20"/>
                <w:szCs w:val="20"/>
                <w:shd w:val="clear" w:color="auto" w:fill="FFFFFF"/>
              </w:rPr>
              <w:t>2;13:1359</w:t>
            </w:r>
            <w:proofErr w:type="gramEnd"/>
            <w:r w:rsidRPr="00D67871">
              <w:rPr>
                <w:rFonts w:cstheme="minorHAnsi"/>
                <w:color w:val="212121"/>
                <w:sz w:val="20"/>
                <w:szCs w:val="20"/>
                <w:shd w:val="clear" w:color="auto" w:fill="FFFFFF"/>
              </w:rPr>
              <w:t xml:space="preserve">-1366. </w:t>
            </w:r>
            <w:proofErr w:type="spellStart"/>
            <w:r w:rsidRPr="00D67871">
              <w:rPr>
                <w:rFonts w:cstheme="minorHAnsi"/>
                <w:color w:val="212121"/>
                <w:sz w:val="20"/>
                <w:szCs w:val="20"/>
                <w:shd w:val="clear" w:color="auto" w:fill="FFFFFF"/>
              </w:rPr>
              <w:t>doi</w:t>
            </w:r>
            <w:proofErr w:type="spellEnd"/>
            <w:r w:rsidRPr="00D67871">
              <w:rPr>
                <w:rFonts w:cstheme="minorHAnsi"/>
                <w:color w:val="212121"/>
                <w:sz w:val="20"/>
                <w:szCs w:val="20"/>
                <w:shd w:val="clear" w:color="auto" w:fill="FFFFFF"/>
              </w:rPr>
              <w:t>: 10.2147/IJGM.S275775. PMID: 33299342; PMCID: PMC7719438.</w:t>
            </w:r>
            <w:bookmarkEnd w:id="14"/>
          </w:p>
        </w:tc>
        <w:tc>
          <w:tcPr>
            <w:tcW w:w="1134" w:type="dxa"/>
          </w:tcPr>
          <w:p w14:paraId="56E7F815" w14:textId="77777777" w:rsidR="00FE1C11" w:rsidRPr="00D67871" w:rsidRDefault="00FE1C11" w:rsidP="00AA1ABE">
            <w:pPr>
              <w:pStyle w:val="Default"/>
              <w:rPr>
                <w:rFonts w:asciiTheme="minorHAnsi" w:hAnsiTheme="minorHAnsi" w:cstheme="minorHAnsi"/>
                <w:sz w:val="20"/>
                <w:szCs w:val="20"/>
              </w:rPr>
            </w:pPr>
          </w:p>
          <w:p w14:paraId="1C253225" w14:textId="77777777" w:rsidR="00FE1C11" w:rsidRPr="00D67871" w:rsidRDefault="00FE1C11" w:rsidP="00AA1ABE">
            <w:pPr>
              <w:rPr>
                <w:rFonts w:cstheme="minorHAnsi"/>
                <w:sz w:val="20"/>
                <w:szCs w:val="20"/>
              </w:rPr>
            </w:pPr>
            <w:r w:rsidRPr="00D67871">
              <w:rPr>
                <w:rFonts w:cstheme="minorHAnsi"/>
                <w:sz w:val="20"/>
                <w:szCs w:val="20"/>
              </w:rPr>
              <w:t xml:space="preserve"> 1368</w:t>
            </w:r>
          </w:p>
        </w:tc>
        <w:tc>
          <w:tcPr>
            <w:tcW w:w="1134" w:type="dxa"/>
          </w:tcPr>
          <w:p w14:paraId="5A017A39" w14:textId="77777777" w:rsidR="00FE1C11" w:rsidRPr="00007D3B" w:rsidRDefault="00FE1C11" w:rsidP="00AA1ABE">
            <w:pPr>
              <w:rPr>
                <w:rFonts w:cstheme="minorHAnsi"/>
                <w:sz w:val="20"/>
                <w:szCs w:val="20"/>
              </w:rPr>
            </w:pPr>
            <w:r w:rsidRPr="00007D3B">
              <w:rPr>
                <w:rFonts w:cstheme="minorHAnsi"/>
                <w:sz w:val="20"/>
                <w:szCs w:val="20"/>
              </w:rPr>
              <w:t>26 Feb to 20 April</w:t>
            </w:r>
          </w:p>
        </w:tc>
        <w:tc>
          <w:tcPr>
            <w:tcW w:w="1134" w:type="dxa"/>
          </w:tcPr>
          <w:p w14:paraId="05BAD32C" w14:textId="77777777" w:rsidR="00FE1C11" w:rsidRPr="00007D3B" w:rsidRDefault="00FE1C11" w:rsidP="00AA1ABE">
            <w:pPr>
              <w:rPr>
                <w:rFonts w:cstheme="minorHAnsi"/>
                <w:sz w:val="20"/>
                <w:szCs w:val="20"/>
              </w:rPr>
            </w:pPr>
            <w:r w:rsidRPr="00007D3B">
              <w:rPr>
                <w:rFonts w:cstheme="minorHAnsi"/>
                <w:sz w:val="20"/>
                <w:szCs w:val="20"/>
              </w:rPr>
              <w:t>Madrid</w:t>
            </w:r>
            <w:r>
              <w:rPr>
                <w:rFonts w:cstheme="minorHAnsi"/>
                <w:sz w:val="20"/>
                <w:szCs w:val="20"/>
              </w:rPr>
              <w:t xml:space="preserve"> SPAIN</w:t>
            </w:r>
          </w:p>
        </w:tc>
        <w:tc>
          <w:tcPr>
            <w:tcW w:w="1418" w:type="dxa"/>
          </w:tcPr>
          <w:p w14:paraId="6B43F920" w14:textId="77777777" w:rsidR="00FE1C11" w:rsidRPr="00007D3B" w:rsidRDefault="00FE1C11" w:rsidP="00AA1ABE">
            <w:pPr>
              <w:rPr>
                <w:rFonts w:cstheme="minorHAnsi"/>
                <w:sz w:val="20"/>
                <w:szCs w:val="20"/>
              </w:rPr>
            </w:pPr>
            <w:r w:rsidRPr="00007D3B">
              <w:rPr>
                <w:rFonts w:cstheme="minorHAnsi"/>
                <w:sz w:val="20"/>
                <w:szCs w:val="20"/>
              </w:rPr>
              <w:t>61 (4.4%)</w:t>
            </w:r>
          </w:p>
        </w:tc>
        <w:tc>
          <w:tcPr>
            <w:tcW w:w="2551" w:type="dxa"/>
          </w:tcPr>
          <w:p w14:paraId="29B93F08" w14:textId="77777777" w:rsidR="00FE1C11" w:rsidRPr="00007D3B" w:rsidRDefault="00FE1C11" w:rsidP="00AA1ABE">
            <w:pPr>
              <w:rPr>
                <w:rFonts w:cstheme="minorHAnsi"/>
                <w:sz w:val="20"/>
                <w:szCs w:val="20"/>
              </w:rPr>
            </w:pPr>
            <w:proofErr w:type="spellStart"/>
            <w:r w:rsidRPr="00007D3B">
              <w:rPr>
                <w:rFonts w:cstheme="minorHAnsi"/>
                <w:sz w:val="20"/>
                <w:szCs w:val="20"/>
              </w:rPr>
              <w:t>Immunosupressed</w:t>
            </w:r>
            <w:proofErr w:type="spellEnd"/>
            <w:r w:rsidRPr="00007D3B">
              <w:rPr>
                <w:rFonts w:cstheme="minorHAnsi"/>
                <w:sz w:val="20"/>
                <w:szCs w:val="20"/>
              </w:rPr>
              <w:t xml:space="preserve"> people. Hypertension   </w:t>
            </w:r>
            <w:proofErr w:type="gramStart"/>
            <w:r w:rsidRPr="00007D3B">
              <w:rPr>
                <w:rFonts w:cstheme="minorHAnsi"/>
                <w:sz w:val="20"/>
                <w:szCs w:val="20"/>
              </w:rPr>
              <w:t>associations  (</w:t>
            </w:r>
            <w:proofErr w:type="gramEnd"/>
            <w:r w:rsidRPr="00007D3B">
              <w:rPr>
                <w:rFonts w:cstheme="minorHAnsi"/>
                <w:sz w:val="20"/>
                <w:szCs w:val="20"/>
              </w:rPr>
              <w:t>small numbers)</w:t>
            </w:r>
          </w:p>
          <w:p w14:paraId="42B3D9DE" w14:textId="77777777" w:rsidR="00FE1C11" w:rsidRPr="00007D3B" w:rsidRDefault="00FE1C11" w:rsidP="00AA1ABE">
            <w:pPr>
              <w:rPr>
                <w:rFonts w:cstheme="minorHAnsi"/>
                <w:sz w:val="20"/>
                <w:szCs w:val="20"/>
              </w:rPr>
            </w:pPr>
          </w:p>
          <w:p w14:paraId="08B9E9D3" w14:textId="77777777" w:rsidR="00FE1C11" w:rsidRPr="00007D3B" w:rsidRDefault="00FE1C11" w:rsidP="00AA1ABE">
            <w:pPr>
              <w:rPr>
                <w:rFonts w:cstheme="minorHAnsi"/>
                <w:sz w:val="20"/>
                <w:szCs w:val="20"/>
              </w:rPr>
            </w:pPr>
            <w:r w:rsidRPr="00007D3B">
              <w:rPr>
                <w:rFonts w:cstheme="minorHAnsi"/>
                <w:sz w:val="20"/>
                <w:szCs w:val="20"/>
              </w:rPr>
              <w:t xml:space="preserve">Trend towards older, male, </w:t>
            </w:r>
          </w:p>
          <w:p w14:paraId="5F4C04C3" w14:textId="77777777" w:rsidR="00FE1C11" w:rsidRPr="00007D3B" w:rsidRDefault="00FE1C11" w:rsidP="00AA1ABE">
            <w:pPr>
              <w:pStyle w:val="Default"/>
              <w:rPr>
                <w:rFonts w:asciiTheme="minorHAnsi" w:hAnsiTheme="minorHAnsi" w:cstheme="minorHAnsi"/>
                <w:sz w:val="20"/>
                <w:szCs w:val="20"/>
              </w:rPr>
            </w:pPr>
          </w:p>
          <w:p w14:paraId="025FA720" w14:textId="77777777" w:rsidR="00FE1C11" w:rsidRPr="00007D3B" w:rsidRDefault="00FE1C11" w:rsidP="00AA1ABE">
            <w:pPr>
              <w:rPr>
                <w:rFonts w:cstheme="minorHAnsi"/>
                <w:sz w:val="20"/>
                <w:szCs w:val="20"/>
              </w:rPr>
            </w:pPr>
            <w:r w:rsidRPr="00007D3B">
              <w:rPr>
                <w:rFonts w:cstheme="minorHAnsi"/>
                <w:sz w:val="20"/>
                <w:szCs w:val="20"/>
              </w:rPr>
              <w:t xml:space="preserve"> Neutrophil-to-lymphocyte ratio at hospital admission tended to be higher in cases </w:t>
            </w:r>
          </w:p>
          <w:p w14:paraId="2A9B3AE3" w14:textId="77777777" w:rsidR="00FE1C11" w:rsidRPr="00007D3B" w:rsidRDefault="00FE1C11" w:rsidP="00AA1ABE">
            <w:pPr>
              <w:rPr>
                <w:rFonts w:cstheme="minorHAnsi"/>
                <w:sz w:val="20"/>
                <w:szCs w:val="20"/>
              </w:rPr>
            </w:pPr>
          </w:p>
          <w:p w14:paraId="202EDC27" w14:textId="77777777" w:rsidR="00FE1C11" w:rsidRDefault="00FE1C11" w:rsidP="00AA1ABE">
            <w:pPr>
              <w:rPr>
                <w:rFonts w:cstheme="minorHAnsi"/>
                <w:color w:val="000000"/>
                <w:sz w:val="20"/>
                <w:szCs w:val="20"/>
              </w:rPr>
            </w:pPr>
            <w:r w:rsidRPr="00007D3B">
              <w:rPr>
                <w:rFonts w:cstheme="minorHAnsi"/>
                <w:color w:val="000000"/>
                <w:sz w:val="20"/>
                <w:szCs w:val="20"/>
              </w:rPr>
              <w:t xml:space="preserve"> Patients who were readmitted due to a thrombotic event (8 patients, 13.1%) presented a higher level of D-dimer at discharge of initial admission.</w:t>
            </w:r>
          </w:p>
          <w:p w14:paraId="40C08BCD" w14:textId="77777777" w:rsidR="00FE1C11" w:rsidRPr="00007D3B" w:rsidRDefault="00FE1C11" w:rsidP="00AA1ABE">
            <w:pPr>
              <w:rPr>
                <w:rFonts w:cstheme="minorHAnsi"/>
                <w:sz w:val="20"/>
                <w:szCs w:val="20"/>
              </w:rPr>
            </w:pPr>
            <w:r w:rsidRPr="00007D3B">
              <w:rPr>
                <w:rFonts w:cstheme="minorHAnsi"/>
                <w:sz w:val="20"/>
                <w:szCs w:val="20"/>
              </w:rPr>
              <w:t xml:space="preserve">No relation </w:t>
            </w:r>
            <w:proofErr w:type="gramStart"/>
            <w:r w:rsidRPr="00007D3B">
              <w:rPr>
                <w:rFonts w:cstheme="minorHAnsi"/>
                <w:sz w:val="20"/>
                <w:szCs w:val="20"/>
              </w:rPr>
              <w:t xml:space="preserve">to </w:t>
            </w:r>
            <w:r>
              <w:rPr>
                <w:rFonts w:cstheme="minorHAnsi"/>
                <w:sz w:val="20"/>
                <w:szCs w:val="20"/>
              </w:rPr>
              <w:t xml:space="preserve"> O</w:t>
            </w:r>
            <w:proofErr w:type="gramEnd"/>
            <w:r>
              <w:rPr>
                <w:rFonts w:cstheme="minorHAnsi"/>
                <w:sz w:val="20"/>
                <w:szCs w:val="20"/>
              </w:rPr>
              <w:t>2</w:t>
            </w:r>
            <w:r w:rsidRPr="00007D3B">
              <w:rPr>
                <w:rFonts w:cstheme="minorHAnsi"/>
                <w:sz w:val="20"/>
                <w:szCs w:val="20"/>
              </w:rPr>
              <w:t>sats</w:t>
            </w:r>
          </w:p>
        </w:tc>
        <w:tc>
          <w:tcPr>
            <w:tcW w:w="1134" w:type="dxa"/>
          </w:tcPr>
          <w:p w14:paraId="35C003D3" w14:textId="77777777" w:rsidR="00FE1C11" w:rsidRPr="00007D3B" w:rsidRDefault="00FE1C11" w:rsidP="00AA1ABE">
            <w:pPr>
              <w:rPr>
                <w:rFonts w:cstheme="minorHAnsi"/>
                <w:sz w:val="20"/>
                <w:szCs w:val="20"/>
              </w:rPr>
            </w:pPr>
            <w:r w:rsidRPr="00007D3B">
              <w:rPr>
                <w:rFonts w:cstheme="minorHAnsi"/>
                <w:sz w:val="20"/>
                <w:szCs w:val="20"/>
              </w:rPr>
              <w:t>Median 6 days</w:t>
            </w:r>
          </w:p>
        </w:tc>
        <w:tc>
          <w:tcPr>
            <w:tcW w:w="1479" w:type="dxa"/>
          </w:tcPr>
          <w:p w14:paraId="225F9304" w14:textId="77777777" w:rsidR="00FE1C11" w:rsidRDefault="00FE1C11" w:rsidP="00AA1ABE">
            <w:pPr>
              <w:rPr>
                <w:rFonts w:cstheme="minorHAnsi"/>
                <w:sz w:val="20"/>
                <w:szCs w:val="20"/>
              </w:rPr>
            </w:pPr>
            <w:r w:rsidRPr="00007D3B">
              <w:rPr>
                <w:rFonts w:cstheme="minorHAnsi"/>
                <w:sz w:val="20"/>
                <w:szCs w:val="20"/>
              </w:rPr>
              <w:t xml:space="preserve">Pneumonia, HF, bacterial super infection </w:t>
            </w:r>
          </w:p>
          <w:p w14:paraId="4797C05E" w14:textId="77777777" w:rsidR="00FE1C11" w:rsidRDefault="00FE1C11" w:rsidP="00AA1ABE">
            <w:pPr>
              <w:rPr>
                <w:rFonts w:cstheme="minorHAnsi"/>
                <w:sz w:val="20"/>
                <w:szCs w:val="20"/>
              </w:rPr>
            </w:pPr>
          </w:p>
          <w:p w14:paraId="23BBADAB" w14:textId="77777777" w:rsidR="00FE1C11" w:rsidRPr="00007D3B" w:rsidRDefault="00FE1C11" w:rsidP="00AA1ABE">
            <w:pPr>
              <w:rPr>
                <w:rFonts w:cstheme="minorHAnsi"/>
                <w:sz w:val="20"/>
                <w:szCs w:val="20"/>
              </w:rPr>
            </w:pPr>
            <w:r>
              <w:rPr>
                <w:rFonts w:cstheme="minorHAnsi"/>
                <w:sz w:val="20"/>
                <w:szCs w:val="20"/>
              </w:rPr>
              <w:t>More likely to have had fever 48 hours at discharge</w:t>
            </w:r>
          </w:p>
        </w:tc>
      </w:tr>
      <w:tr w:rsidR="00FE1C11" w:rsidRPr="00007D3B" w14:paraId="7A7A6CAD" w14:textId="77777777" w:rsidTr="00AA1ABE">
        <w:tc>
          <w:tcPr>
            <w:tcW w:w="3964" w:type="dxa"/>
          </w:tcPr>
          <w:p w14:paraId="595BB0E8" w14:textId="77777777" w:rsidR="00FE1C11" w:rsidRPr="00007D3B" w:rsidRDefault="00FE1C11" w:rsidP="00AA1ABE">
            <w:pPr>
              <w:rPr>
                <w:rFonts w:cstheme="minorHAnsi"/>
                <w:sz w:val="20"/>
                <w:szCs w:val="20"/>
              </w:rPr>
            </w:pPr>
            <w:bookmarkStart w:id="15" w:name="_Hlk61939112"/>
            <w:r>
              <w:rPr>
                <w:rFonts w:cstheme="minorHAnsi"/>
                <w:sz w:val="20"/>
                <w:szCs w:val="20"/>
              </w:rPr>
              <w:t xml:space="preserve">Lavery Am, </w:t>
            </w:r>
            <w:proofErr w:type="spellStart"/>
            <w:r>
              <w:rPr>
                <w:rFonts w:cstheme="minorHAnsi"/>
                <w:sz w:val="20"/>
                <w:szCs w:val="20"/>
              </w:rPr>
              <w:t>Preson</w:t>
            </w:r>
            <w:proofErr w:type="spellEnd"/>
            <w:r>
              <w:rPr>
                <w:rFonts w:cstheme="minorHAnsi"/>
                <w:sz w:val="20"/>
                <w:szCs w:val="20"/>
              </w:rPr>
              <w:t xml:space="preserve"> LE, Kho JY, </w:t>
            </w:r>
            <w:proofErr w:type="spellStart"/>
            <w:r>
              <w:rPr>
                <w:rFonts w:cstheme="minorHAnsi"/>
                <w:sz w:val="20"/>
                <w:szCs w:val="20"/>
              </w:rPr>
              <w:t>Chevinsky</w:t>
            </w:r>
            <w:proofErr w:type="spellEnd"/>
            <w:r>
              <w:rPr>
                <w:rFonts w:cstheme="minorHAnsi"/>
                <w:sz w:val="20"/>
                <w:szCs w:val="20"/>
              </w:rPr>
              <w:t xml:space="preserve"> JR, </w:t>
            </w:r>
            <w:proofErr w:type="spellStart"/>
            <w:r>
              <w:rPr>
                <w:rFonts w:cstheme="minorHAnsi"/>
                <w:sz w:val="20"/>
                <w:szCs w:val="20"/>
              </w:rPr>
              <w:t>DeSisto</w:t>
            </w:r>
            <w:proofErr w:type="spellEnd"/>
            <w:r>
              <w:rPr>
                <w:rFonts w:cstheme="minorHAnsi"/>
                <w:sz w:val="20"/>
                <w:szCs w:val="20"/>
              </w:rPr>
              <w:t xml:space="preserve"> CL et al </w:t>
            </w:r>
            <w:r w:rsidRPr="00007D3B">
              <w:rPr>
                <w:sz w:val="20"/>
                <w:szCs w:val="20"/>
              </w:rPr>
              <w:t>Characteristics of Hospitalized COVID-19 Patients Discharged and Experiencing Same-Hospital Readmission — United States, March–August 2020</w:t>
            </w:r>
            <w:r>
              <w:rPr>
                <w:sz w:val="20"/>
                <w:szCs w:val="20"/>
              </w:rPr>
              <w:t xml:space="preserve">  CDC </w:t>
            </w:r>
            <w:hyperlink r:id="rId9" w:history="1">
              <w:r w:rsidRPr="00920E02">
                <w:rPr>
                  <w:rStyle w:val="Hyperlink"/>
                  <w:sz w:val="20"/>
                  <w:szCs w:val="20"/>
                </w:rPr>
                <w:t>file:///D:/active%20research/telemedicine/COVID-19/oversight%20group%20evidence/mm6945e2-H%20lavery%20et%20al%20CDC.pdf</w:t>
              </w:r>
            </w:hyperlink>
            <w:r>
              <w:rPr>
                <w:sz w:val="20"/>
                <w:szCs w:val="20"/>
              </w:rPr>
              <w:t xml:space="preserve"> </w:t>
            </w:r>
            <w:bookmarkEnd w:id="15"/>
          </w:p>
        </w:tc>
        <w:tc>
          <w:tcPr>
            <w:tcW w:w="1134" w:type="dxa"/>
          </w:tcPr>
          <w:p w14:paraId="2D9E9D68" w14:textId="77777777" w:rsidR="00FE1C11" w:rsidRPr="00007D3B" w:rsidRDefault="00FE1C11" w:rsidP="00AA1ABE">
            <w:pPr>
              <w:rPr>
                <w:rFonts w:cstheme="minorHAnsi"/>
                <w:sz w:val="20"/>
                <w:szCs w:val="20"/>
              </w:rPr>
            </w:pPr>
            <w:r>
              <w:t>106,543</w:t>
            </w:r>
          </w:p>
        </w:tc>
        <w:tc>
          <w:tcPr>
            <w:tcW w:w="1134" w:type="dxa"/>
          </w:tcPr>
          <w:p w14:paraId="3909728D" w14:textId="77777777" w:rsidR="00FE1C11" w:rsidRDefault="00FE1C11" w:rsidP="00AA1ABE">
            <w:r>
              <w:t>March–July 2020</w:t>
            </w:r>
          </w:p>
          <w:p w14:paraId="3A7C67E9" w14:textId="77777777" w:rsidR="00FE1C11" w:rsidRPr="00007D3B" w:rsidRDefault="00FE1C11" w:rsidP="00AA1ABE">
            <w:pPr>
              <w:rPr>
                <w:rFonts w:cstheme="minorHAnsi"/>
                <w:sz w:val="20"/>
                <w:szCs w:val="20"/>
              </w:rPr>
            </w:pPr>
            <w:r>
              <w:t>(</w:t>
            </w:r>
            <w:proofErr w:type="gramStart"/>
            <w:r>
              <w:t>readmissions</w:t>
            </w:r>
            <w:proofErr w:type="gramEnd"/>
            <w:r>
              <w:t xml:space="preserve"> within 2 months)</w:t>
            </w:r>
          </w:p>
        </w:tc>
        <w:tc>
          <w:tcPr>
            <w:tcW w:w="1134" w:type="dxa"/>
          </w:tcPr>
          <w:p w14:paraId="51AB2392" w14:textId="77777777" w:rsidR="00FE1C11" w:rsidRPr="00007D3B" w:rsidRDefault="00FE1C11" w:rsidP="00AA1ABE">
            <w:pPr>
              <w:rPr>
                <w:rFonts w:cstheme="minorHAnsi"/>
                <w:sz w:val="20"/>
                <w:szCs w:val="20"/>
              </w:rPr>
            </w:pPr>
            <w:r>
              <w:rPr>
                <w:rFonts w:cstheme="minorHAnsi"/>
                <w:sz w:val="20"/>
                <w:szCs w:val="20"/>
              </w:rPr>
              <w:t>USA</w:t>
            </w:r>
          </w:p>
        </w:tc>
        <w:tc>
          <w:tcPr>
            <w:tcW w:w="1418" w:type="dxa"/>
          </w:tcPr>
          <w:p w14:paraId="2D806E48" w14:textId="77777777" w:rsidR="00FE1C11" w:rsidRPr="00007D3B" w:rsidRDefault="00FE1C11" w:rsidP="00AA1ABE">
            <w:pPr>
              <w:rPr>
                <w:rFonts w:cstheme="minorHAnsi"/>
                <w:sz w:val="20"/>
                <w:szCs w:val="20"/>
              </w:rPr>
            </w:pPr>
            <w:r>
              <w:t>9,504 (9%)</w:t>
            </w:r>
          </w:p>
        </w:tc>
        <w:tc>
          <w:tcPr>
            <w:tcW w:w="2551" w:type="dxa"/>
          </w:tcPr>
          <w:p w14:paraId="33139C9E" w14:textId="77777777" w:rsidR="00FE1C11" w:rsidRPr="00007D3B" w:rsidRDefault="00FE1C11" w:rsidP="00AA1ABE">
            <w:pPr>
              <w:rPr>
                <w:rFonts w:cstheme="minorHAnsi"/>
                <w:sz w:val="20"/>
                <w:szCs w:val="20"/>
              </w:rPr>
            </w:pPr>
            <w:r>
              <w:rPr>
                <w:rFonts w:cstheme="minorHAnsi"/>
                <w:sz w:val="20"/>
                <w:szCs w:val="20"/>
              </w:rPr>
              <w:t>Age (&gt;65</w:t>
            </w:r>
            <w:proofErr w:type="gramStart"/>
            <w:r>
              <w:rPr>
                <w:rFonts w:cstheme="minorHAnsi"/>
                <w:sz w:val="20"/>
                <w:szCs w:val="20"/>
              </w:rPr>
              <w:t>),  co</w:t>
            </w:r>
            <w:proofErr w:type="gramEnd"/>
            <w:r>
              <w:rPr>
                <w:rFonts w:cstheme="minorHAnsi"/>
                <w:sz w:val="20"/>
                <w:szCs w:val="20"/>
              </w:rPr>
              <w:t xml:space="preserve">-morbidities COPD, HF, CKD ( previous hospital admission in 3 months), Whites races, </w:t>
            </w:r>
          </w:p>
        </w:tc>
        <w:tc>
          <w:tcPr>
            <w:tcW w:w="1134" w:type="dxa"/>
          </w:tcPr>
          <w:p w14:paraId="126C38C9" w14:textId="77777777" w:rsidR="00FE1C11" w:rsidRPr="00007D3B" w:rsidRDefault="00FE1C11" w:rsidP="00AA1ABE">
            <w:pPr>
              <w:rPr>
                <w:rFonts w:cstheme="minorHAnsi"/>
                <w:sz w:val="20"/>
                <w:szCs w:val="20"/>
              </w:rPr>
            </w:pPr>
            <w:r>
              <w:rPr>
                <w:rFonts w:cstheme="minorHAnsi"/>
                <w:sz w:val="20"/>
                <w:szCs w:val="20"/>
              </w:rPr>
              <w:t>Median 8 days</w:t>
            </w:r>
          </w:p>
        </w:tc>
        <w:tc>
          <w:tcPr>
            <w:tcW w:w="1479" w:type="dxa"/>
          </w:tcPr>
          <w:p w14:paraId="5CCB3343" w14:textId="77777777" w:rsidR="00FE1C11" w:rsidRPr="00007D3B" w:rsidRDefault="00FE1C11" w:rsidP="00AA1ABE">
            <w:pPr>
              <w:rPr>
                <w:rFonts w:cstheme="minorHAnsi"/>
                <w:sz w:val="20"/>
                <w:szCs w:val="20"/>
              </w:rPr>
            </w:pPr>
            <w:r>
              <w:rPr>
                <w:rFonts w:cstheme="minorHAnsi"/>
                <w:sz w:val="20"/>
                <w:szCs w:val="20"/>
              </w:rPr>
              <w:t>‘Infectious diseases’ primarily COVID 45%, ‘circulatory’ and digestive systems</w:t>
            </w:r>
          </w:p>
        </w:tc>
      </w:tr>
      <w:tr w:rsidR="00FE1C11" w:rsidRPr="00CD40E6" w14:paraId="12A2AA6D" w14:textId="77777777" w:rsidTr="00AA1ABE">
        <w:tc>
          <w:tcPr>
            <w:tcW w:w="3964" w:type="dxa"/>
          </w:tcPr>
          <w:p w14:paraId="45A812CC" w14:textId="77777777" w:rsidR="00FE1C11" w:rsidRPr="00CD40E6" w:rsidRDefault="00FE1C11" w:rsidP="00AA1ABE">
            <w:pPr>
              <w:rPr>
                <w:rFonts w:cstheme="minorHAnsi"/>
                <w:sz w:val="20"/>
                <w:szCs w:val="20"/>
              </w:rPr>
            </w:pPr>
            <w:bookmarkStart w:id="16" w:name="_Hlk61939181"/>
            <w:proofErr w:type="spellStart"/>
            <w:r w:rsidRPr="00CD40E6">
              <w:rPr>
                <w:rFonts w:cstheme="minorHAnsi"/>
                <w:color w:val="212121"/>
                <w:sz w:val="20"/>
                <w:szCs w:val="20"/>
                <w:shd w:val="clear" w:color="auto" w:fill="FFFFFF"/>
              </w:rPr>
              <w:t>Rokadiya</w:t>
            </w:r>
            <w:proofErr w:type="spellEnd"/>
            <w:r w:rsidRPr="00CD40E6">
              <w:rPr>
                <w:rFonts w:cstheme="minorHAnsi"/>
                <w:color w:val="212121"/>
                <w:sz w:val="20"/>
                <w:szCs w:val="20"/>
                <w:shd w:val="clear" w:color="auto" w:fill="FFFFFF"/>
              </w:rPr>
              <w:t xml:space="preserve"> S, Gil E, Stubbs C, Bell D, Herbert R. COVID-19: Outcomes of patients with confirmed COVID-19 re-admitted to hospital. J Infect. 2020 Sep;81(3</w:t>
            </w:r>
            <w:proofErr w:type="gramStart"/>
            <w:r w:rsidRPr="00CD40E6">
              <w:rPr>
                <w:rFonts w:cstheme="minorHAnsi"/>
                <w:color w:val="212121"/>
                <w:sz w:val="20"/>
                <w:szCs w:val="20"/>
                <w:shd w:val="clear" w:color="auto" w:fill="FFFFFF"/>
              </w:rPr>
              <w:t>):e</w:t>
            </w:r>
            <w:proofErr w:type="gramEnd"/>
            <w:r w:rsidRPr="00CD40E6">
              <w:rPr>
                <w:rFonts w:cstheme="minorHAnsi"/>
                <w:color w:val="212121"/>
                <w:sz w:val="20"/>
                <w:szCs w:val="20"/>
                <w:shd w:val="clear" w:color="auto" w:fill="FFFFFF"/>
              </w:rPr>
              <w:t xml:space="preserve">18-e19. </w:t>
            </w:r>
            <w:proofErr w:type="spellStart"/>
            <w:r w:rsidRPr="00CD40E6">
              <w:rPr>
                <w:rFonts w:cstheme="minorHAnsi"/>
                <w:color w:val="212121"/>
                <w:sz w:val="20"/>
                <w:szCs w:val="20"/>
                <w:shd w:val="clear" w:color="auto" w:fill="FFFFFF"/>
              </w:rPr>
              <w:t>doi</w:t>
            </w:r>
            <w:proofErr w:type="spellEnd"/>
            <w:r w:rsidRPr="00CD40E6">
              <w:rPr>
                <w:rFonts w:cstheme="minorHAnsi"/>
                <w:color w:val="212121"/>
                <w:sz w:val="20"/>
                <w:szCs w:val="20"/>
                <w:shd w:val="clear" w:color="auto" w:fill="FFFFFF"/>
              </w:rPr>
              <w:t xml:space="preserve">: 10.1016/j.jinf.2020.07.007. </w:t>
            </w:r>
            <w:proofErr w:type="spellStart"/>
            <w:r w:rsidRPr="00CD40E6">
              <w:rPr>
                <w:rFonts w:cstheme="minorHAnsi"/>
                <w:color w:val="212121"/>
                <w:sz w:val="20"/>
                <w:szCs w:val="20"/>
                <w:shd w:val="clear" w:color="auto" w:fill="FFFFFF"/>
              </w:rPr>
              <w:t>Epub</w:t>
            </w:r>
            <w:proofErr w:type="spellEnd"/>
            <w:r w:rsidRPr="00CD40E6">
              <w:rPr>
                <w:rFonts w:cstheme="minorHAnsi"/>
                <w:color w:val="212121"/>
                <w:sz w:val="20"/>
                <w:szCs w:val="20"/>
                <w:shd w:val="clear" w:color="auto" w:fill="FFFFFF"/>
              </w:rPr>
              <w:t xml:space="preserve"> 2020 Jul 8. PMID: 32652166; PMCID: PMC7342032.</w:t>
            </w:r>
            <w:bookmarkEnd w:id="16"/>
          </w:p>
        </w:tc>
        <w:tc>
          <w:tcPr>
            <w:tcW w:w="1134" w:type="dxa"/>
          </w:tcPr>
          <w:p w14:paraId="5BE5EFF4" w14:textId="77777777" w:rsidR="00FE1C11" w:rsidRPr="00CD40E6" w:rsidRDefault="00FE1C11" w:rsidP="00AA1ABE">
            <w:pPr>
              <w:rPr>
                <w:rFonts w:cstheme="minorHAnsi"/>
                <w:sz w:val="20"/>
                <w:szCs w:val="20"/>
              </w:rPr>
            </w:pPr>
            <w:r w:rsidRPr="00CD40E6">
              <w:rPr>
                <w:rFonts w:cstheme="minorHAnsi"/>
                <w:sz w:val="20"/>
                <w:szCs w:val="20"/>
              </w:rPr>
              <w:t>391</w:t>
            </w:r>
          </w:p>
        </w:tc>
        <w:tc>
          <w:tcPr>
            <w:tcW w:w="1134" w:type="dxa"/>
          </w:tcPr>
          <w:p w14:paraId="1F33474C" w14:textId="77777777" w:rsidR="00FE1C11" w:rsidRDefault="00FE1C11" w:rsidP="00AA1ABE">
            <w:pPr>
              <w:autoSpaceDE w:val="0"/>
              <w:autoSpaceDN w:val="0"/>
              <w:adjustRightInd w:val="0"/>
              <w:rPr>
                <w:rFonts w:ascii="Gulliver" w:hAnsi="Gulliver" w:cs="Gulliver"/>
                <w:sz w:val="16"/>
                <w:szCs w:val="16"/>
              </w:rPr>
            </w:pPr>
            <w:r>
              <w:rPr>
                <w:rFonts w:ascii="Gulliver" w:hAnsi="Gulliver" w:cs="Gulliver"/>
                <w:sz w:val="16"/>
                <w:szCs w:val="16"/>
              </w:rPr>
              <w:t>09/03/2020</w:t>
            </w:r>
          </w:p>
          <w:p w14:paraId="0D42F86B" w14:textId="77777777" w:rsidR="00FE1C11" w:rsidRPr="00CD40E6" w:rsidRDefault="00FE1C11" w:rsidP="00AA1ABE">
            <w:pPr>
              <w:rPr>
                <w:rFonts w:cstheme="minorHAnsi"/>
                <w:sz w:val="20"/>
                <w:szCs w:val="20"/>
              </w:rPr>
            </w:pPr>
            <w:proofErr w:type="gramStart"/>
            <w:r>
              <w:rPr>
                <w:rFonts w:ascii="Gulliver" w:hAnsi="Gulliver" w:cs="Gulliver"/>
                <w:sz w:val="16"/>
                <w:szCs w:val="16"/>
              </w:rPr>
              <w:t>To  30</w:t>
            </w:r>
            <w:proofErr w:type="gramEnd"/>
            <w:r>
              <w:rPr>
                <w:rFonts w:ascii="Gulliver" w:hAnsi="Gulliver" w:cs="Gulliver"/>
                <w:sz w:val="16"/>
                <w:szCs w:val="16"/>
              </w:rPr>
              <w:t>/04/2020.</w:t>
            </w:r>
          </w:p>
        </w:tc>
        <w:tc>
          <w:tcPr>
            <w:tcW w:w="1134" w:type="dxa"/>
          </w:tcPr>
          <w:p w14:paraId="5D40D120" w14:textId="77777777" w:rsidR="00FE1C11" w:rsidRPr="00CD40E6" w:rsidRDefault="00FE1C11" w:rsidP="00AA1ABE">
            <w:pPr>
              <w:rPr>
                <w:rFonts w:cstheme="minorHAnsi"/>
                <w:sz w:val="20"/>
                <w:szCs w:val="20"/>
              </w:rPr>
            </w:pPr>
            <w:r w:rsidRPr="00CD40E6">
              <w:rPr>
                <w:rFonts w:cstheme="minorHAnsi"/>
                <w:sz w:val="20"/>
                <w:szCs w:val="20"/>
              </w:rPr>
              <w:t>Middlesex England</w:t>
            </w:r>
          </w:p>
        </w:tc>
        <w:tc>
          <w:tcPr>
            <w:tcW w:w="1418" w:type="dxa"/>
          </w:tcPr>
          <w:p w14:paraId="1AA39191" w14:textId="77777777" w:rsidR="00FE1C11" w:rsidRPr="00CD40E6" w:rsidRDefault="00FE1C11" w:rsidP="00AA1ABE">
            <w:pPr>
              <w:rPr>
                <w:rFonts w:cstheme="minorHAnsi"/>
                <w:sz w:val="20"/>
                <w:szCs w:val="20"/>
              </w:rPr>
            </w:pPr>
            <w:r w:rsidRPr="00CD40E6">
              <w:rPr>
                <w:rFonts w:cstheme="minorHAnsi"/>
                <w:sz w:val="20"/>
                <w:szCs w:val="20"/>
              </w:rPr>
              <w:t>39 (9.9%)</w:t>
            </w:r>
          </w:p>
        </w:tc>
        <w:tc>
          <w:tcPr>
            <w:tcW w:w="2551" w:type="dxa"/>
          </w:tcPr>
          <w:p w14:paraId="10143275" w14:textId="77777777" w:rsidR="00FE1C11" w:rsidRPr="00CD40E6" w:rsidRDefault="00FE1C11" w:rsidP="00AA1ABE">
            <w:pPr>
              <w:rPr>
                <w:rFonts w:cstheme="minorHAnsi"/>
                <w:sz w:val="20"/>
                <w:szCs w:val="20"/>
              </w:rPr>
            </w:pPr>
            <w:r w:rsidRPr="00CD40E6">
              <w:rPr>
                <w:rFonts w:cstheme="minorHAnsi"/>
                <w:sz w:val="20"/>
                <w:szCs w:val="20"/>
              </w:rPr>
              <w:t xml:space="preserve">Older </w:t>
            </w:r>
            <w:proofErr w:type="gramStart"/>
            <w:r w:rsidRPr="00CD40E6">
              <w:rPr>
                <w:rFonts w:cstheme="minorHAnsi"/>
                <w:sz w:val="20"/>
                <w:szCs w:val="20"/>
              </w:rPr>
              <w:t>age  (</w:t>
            </w:r>
            <w:proofErr w:type="gramEnd"/>
            <w:r w:rsidRPr="00CD40E6">
              <w:rPr>
                <w:rFonts w:cstheme="minorHAnsi"/>
                <w:sz w:val="20"/>
                <w:szCs w:val="20"/>
              </w:rPr>
              <w:t>73 v 59). Male</w:t>
            </w:r>
            <w:r>
              <w:rPr>
                <w:rFonts w:cstheme="minorHAnsi"/>
                <w:sz w:val="20"/>
                <w:szCs w:val="20"/>
              </w:rPr>
              <w:t>, comorbidity, hypertension diabetes</w:t>
            </w:r>
          </w:p>
        </w:tc>
        <w:tc>
          <w:tcPr>
            <w:tcW w:w="1134" w:type="dxa"/>
          </w:tcPr>
          <w:p w14:paraId="71E0709E" w14:textId="77777777" w:rsidR="00FE1C11" w:rsidRPr="00CD40E6" w:rsidRDefault="00FE1C11" w:rsidP="00AA1ABE">
            <w:pPr>
              <w:rPr>
                <w:rFonts w:cstheme="minorHAnsi"/>
                <w:sz w:val="20"/>
                <w:szCs w:val="20"/>
              </w:rPr>
            </w:pPr>
            <w:r w:rsidRPr="00CD40E6">
              <w:rPr>
                <w:rFonts w:cstheme="minorHAnsi"/>
                <w:sz w:val="20"/>
                <w:szCs w:val="20"/>
              </w:rPr>
              <w:t>Average 10 days</w:t>
            </w:r>
          </w:p>
        </w:tc>
        <w:tc>
          <w:tcPr>
            <w:tcW w:w="1479" w:type="dxa"/>
          </w:tcPr>
          <w:p w14:paraId="4A4D4D7E" w14:textId="77777777" w:rsidR="00FE1C11" w:rsidRPr="00CD40E6" w:rsidRDefault="00FE1C11" w:rsidP="00AA1ABE">
            <w:pPr>
              <w:rPr>
                <w:rFonts w:cstheme="minorHAnsi"/>
                <w:sz w:val="20"/>
                <w:szCs w:val="20"/>
              </w:rPr>
            </w:pPr>
            <w:r w:rsidRPr="00CD40E6">
              <w:rPr>
                <w:rFonts w:cstheme="minorHAnsi"/>
                <w:sz w:val="20"/>
                <w:szCs w:val="20"/>
              </w:rPr>
              <w:t>Dyspnoea, SaO2 on readmission 90.5% lower in dyspnoea group 82%. Higher CRP</w:t>
            </w:r>
          </w:p>
        </w:tc>
      </w:tr>
    </w:tbl>
    <w:p w14:paraId="0570CE4D" w14:textId="77777777" w:rsidR="00FE1C11" w:rsidRPr="00007D3B" w:rsidRDefault="00FE1C11" w:rsidP="00FE1C11">
      <w:pPr>
        <w:rPr>
          <w:rFonts w:cstheme="minorHAnsi"/>
          <w:sz w:val="20"/>
          <w:szCs w:val="20"/>
        </w:rPr>
      </w:pPr>
    </w:p>
    <w:p w14:paraId="53A70403" w14:textId="77777777" w:rsidR="00FE1C11" w:rsidRPr="00827089" w:rsidRDefault="00FE1C11" w:rsidP="00FE1C11">
      <w:pPr>
        <w:rPr>
          <w:rFonts w:cstheme="minorHAnsi"/>
          <w:sz w:val="24"/>
          <w:szCs w:val="24"/>
        </w:rPr>
      </w:pPr>
      <w:r>
        <w:rPr>
          <w:rFonts w:cstheme="minorHAnsi"/>
          <w:sz w:val="24"/>
          <w:szCs w:val="24"/>
        </w:rPr>
        <w:br w:type="page"/>
        <w:t xml:space="preserve">Table 2 </w:t>
      </w:r>
      <w:r w:rsidRPr="00827089">
        <w:rPr>
          <w:rFonts w:cstheme="minorHAnsi"/>
          <w:sz w:val="24"/>
          <w:szCs w:val="24"/>
        </w:rPr>
        <w:t>Trials of telemonitoring post discharge</w:t>
      </w:r>
    </w:p>
    <w:p w14:paraId="4951CF17" w14:textId="77777777" w:rsidR="00FE1C11" w:rsidRDefault="00FE1C11" w:rsidP="00FE1C11">
      <w:pPr>
        <w:rPr>
          <w:rFonts w:cstheme="minorHAnsi"/>
          <w:sz w:val="20"/>
          <w:szCs w:val="20"/>
        </w:rPr>
      </w:pPr>
    </w:p>
    <w:tbl>
      <w:tblPr>
        <w:tblStyle w:val="TableGrid"/>
        <w:tblW w:w="0" w:type="auto"/>
        <w:tblLayout w:type="fixed"/>
        <w:tblLook w:val="04A0" w:firstRow="1" w:lastRow="0" w:firstColumn="1" w:lastColumn="0" w:noHBand="0" w:noVBand="1"/>
      </w:tblPr>
      <w:tblGrid>
        <w:gridCol w:w="3933"/>
        <w:gridCol w:w="1101"/>
        <w:gridCol w:w="1057"/>
        <w:gridCol w:w="1393"/>
        <w:gridCol w:w="1031"/>
        <w:gridCol w:w="808"/>
        <w:gridCol w:w="1011"/>
        <w:gridCol w:w="1011"/>
        <w:gridCol w:w="804"/>
        <w:gridCol w:w="811"/>
        <w:gridCol w:w="988"/>
      </w:tblGrid>
      <w:tr w:rsidR="00FE1C11" w:rsidRPr="00007D3B" w14:paraId="648C9A5A" w14:textId="77777777" w:rsidTr="00AA1ABE">
        <w:tc>
          <w:tcPr>
            <w:tcW w:w="3933" w:type="dxa"/>
          </w:tcPr>
          <w:p w14:paraId="628283B0" w14:textId="77777777" w:rsidR="00FE1C11" w:rsidRPr="00007D3B" w:rsidRDefault="00FE1C11" w:rsidP="00AA1ABE">
            <w:pPr>
              <w:rPr>
                <w:rFonts w:cstheme="minorHAnsi"/>
                <w:sz w:val="20"/>
                <w:szCs w:val="20"/>
              </w:rPr>
            </w:pPr>
          </w:p>
        </w:tc>
        <w:tc>
          <w:tcPr>
            <w:tcW w:w="1101" w:type="dxa"/>
          </w:tcPr>
          <w:p w14:paraId="4402EB14" w14:textId="77777777" w:rsidR="00FE1C11" w:rsidRDefault="00FE1C11" w:rsidP="00AA1ABE">
            <w:pPr>
              <w:rPr>
                <w:rFonts w:cstheme="minorHAnsi"/>
                <w:sz w:val="20"/>
                <w:szCs w:val="20"/>
              </w:rPr>
            </w:pPr>
            <w:r>
              <w:rPr>
                <w:rFonts w:cstheme="minorHAnsi"/>
                <w:sz w:val="20"/>
                <w:szCs w:val="20"/>
              </w:rPr>
              <w:t>country</w:t>
            </w:r>
          </w:p>
        </w:tc>
        <w:tc>
          <w:tcPr>
            <w:tcW w:w="1057" w:type="dxa"/>
          </w:tcPr>
          <w:p w14:paraId="3F012692" w14:textId="77777777" w:rsidR="00FE1C11" w:rsidRPr="00007D3B" w:rsidRDefault="00FE1C11" w:rsidP="00AA1ABE">
            <w:pPr>
              <w:rPr>
                <w:rFonts w:cstheme="minorHAnsi"/>
                <w:sz w:val="20"/>
                <w:szCs w:val="20"/>
              </w:rPr>
            </w:pPr>
            <w:r>
              <w:rPr>
                <w:rFonts w:cstheme="minorHAnsi"/>
                <w:sz w:val="20"/>
                <w:szCs w:val="20"/>
              </w:rPr>
              <w:t>Number of cases</w:t>
            </w:r>
          </w:p>
        </w:tc>
        <w:tc>
          <w:tcPr>
            <w:tcW w:w="1393" w:type="dxa"/>
          </w:tcPr>
          <w:p w14:paraId="2A3193BF" w14:textId="77777777" w:rsidR="00FE1C11" w:rsidRDefault="00FE1C11" w:rsidP="00AA1ABE">
            <w:pPr>
              <w:rPr>
                <w:rFonts w:cstheme="minorHAnsi"/>
                <w:sz w:val="20"/>
                <w:szCs w:val="20"/>
              </w:rPr>
            </w:pPr>
            <w:r>
              <w:rPr>
                <w:rFonts w:cstheme="minorHAnsi"/>
                <w:sz w:val="20"/>
                <w:szCs w:val="20"/>
              </w:rPr>
              <w:t>Content and mode of contact</w:t>
            </w:r>
          </w:p>
        </w:tc>
        <w:tc>
          <w:tcPr>
            <w:tcW w:w="1031" w:type="dxa"/>
          </w:tcPr>
          <w:p w14:paraId="4AFDBEA8" w14:textId="77777777" w:rsidR="00FE1C11" w:rsidRPr="00007D3B" w:rsidRDefault="00FE1C11" w:rsidP="00AA1ABE">
            <w:pPr>
              <w:rPr>
                <w:rFonts w:cstheme="minorHAnsi"/>
                <w:sz w:val="20"/>
                <w:szCs w:val="20"/>
              </w:rPr>
            </w:pPr>
            <w:r>
              <w:rPr>
                <w:rFonts w:cstheme="minorHAnsi"/>
                <w:sz w:val="20"/>
                <w:szCs w:val="20"/>
              </w:rPr>
              <w:t>Number of alerts</w:t>
            </w:r>
          </w:p>
        </w:tc>
        <w:tc>
          <w:tcPr>
            <w:tcW w:w="808" w:type="dxa"/>
          </w:tcPr>
          <w:p w14:paraId="03881CAF" w14:textId="77777777" w:rsidR="00FE1C11" w:rsidRPr="00007D3B" w:rsidRDefault="00FE1C11" w:rsidP="00AA1ABE">
            <w:pPr>
              <w:rPr>
                <w:rFonts w:cstheme="minorHAnsi"/>
                <w:sz w:val="20"/>
                <w:szCs w:val="20"/>
              </w:rPr>
            </w:pPr>
            <w:r>
              <w:rPr>
                <w:rFonts w:cstheme="minorHAnsi"/>
                <w:sz w:val="20"/>
                <w:szCs w:val="20"/>
              </w:rPr>
              <w:t>Number of reviews</w:t>
            </w:r>
          </w:p>
        </w:tc>
        <w:tc>
          <w:tcPr>
            <w:tcW w:w="1011" w:type="dxa"/>
          </w:tcPr>
          <w:p w14:paraId="17C11D66" w14:textId="77777777" w:rsidR="00FE1C11" w:rsidRPr="00007D3B" w:rsidRDefault="00FE1C11" w:rsidP="00AA1ABE">
            <w:pPr>
              <w:rPr>
                <w:rFonts w:cstheme="minorHAnsi"/>
                <w:sz w:val="20"/>
                <w:szCs w:val="20"/>
              </w:rPr>
            </w:pPr>
            <w:r>
              <w:rPr>
                <w:rFonts w:cstheme="minorHAnsi"/>
                <w:sz w:val="20"/>
                <w:szCs w:val="20"/>
              </w:rPr>
              <w:t>Number of admissions</w:t>
            </w:r>
          </w:p>
        </w:tc>
        <w:tc>
          <w:tcPr>
            <w:tcW w:w="1011" w:type="dxa"/>
          </w:tcPr>
          <w:p w14:paraId="669191E4" w14:textId="77777777" w:rsidR="00FE1C11" w:rsidRPr="00007D3B" w:rsidRDefault="00FE1C11" w:rsidP="00AA1ABE">
            <w:pPr>
              <w:rPr>
                <w:rFonts w:cstheme="minorHAnsi"/>
                <w:sz w:val="20"/>
                <w:szCs w:val="20"/>
              </w:rPr>
            </w:pPr>
            <w:r>
              <w:rPr>
                <w:rFonts w:cstheme="minorHAnsi"/>
                <w:sz w:val="20"/>
                <w:szCs w:val="20"/>
              </w:rPr>
              <w:t>ICU admissions</w:t>
            </w:r>
          </w:p>
        </w:tc>
        <w:tc>
          <w:tcPr>
            <w:tcW w:w="804" w:type="dxa"/>
          </w:tcPr>
          <w:p w14:paraId="7996CEBC" w14:textId="77777777" w:rsidR="00FE1C11" w:rsidRPr="00007D3B" w:rsidRDefault="00FE1C11" w:rsidP="00AA1ABE">
            <w:pPr>
              <w:rPr>
                <w:rFonts w:cstheme="minorHAnsi"/>
                <w:sz w:val="20"/>
                <w:szCs w:val="20"/>
              </w:rPr>
            </w:pPr>
            <w:r>
              <w:rPr>
                <w:rFonts w:cstheme="minorHAnsi"/>
                <w:sz w:val="20"/>
                <w:szCs w:val="20"/>
              </w:rPr>
              <w:t>Age of patients</w:t>
            </w:r>
          </w:p>
        </w:tc>
        <w:tc>
          <w:tcPr>
            <w:tcW w:w="811" w:type="dxa"/>
          </w:tcPr>
          <w:p w14:paraId="29860C9E" w14:textId="77777777" w:rsidR="00FE1C11" w:rsidRPr="00007D3B" w:rsidRDefault="00FE1C11" w:rsidP="00AA1ABE">
            <w:pPr>
              <w:rPr>
                <w:rFonts w:cstheme="minorHAnsi"/>
                <w:sz w:val="20"/>
                <w:szCs w:val="20"/>
              </w:rPr>
            </w:pPr>
            <w:r>
              <w:rPr>
                <w:rFonts w:cstheme="minorHAnsi"/>
                <w:sz w:val="20"/>
                <w:szCs w:val="20"/>
              </w:rPr>
              <w:t>triggers</w:t>
            </w:r>
          </w:p>
        </w:tc>
        <w:tc>
          <w:tcPr>
            <w:tcW w:w="988" w:type="dxa"/>
          </w:tcPr>
          <w:p w14:paraId="169EC8DE" w14:textId="77777777" w:rsidR="00FE1C11" w:rsidRDefault="00FE1C11" w:rsidP="00AA1ABE">
            <w:pPr>
              <w:rPr>
                <w:rFonts w:cstheme="minorHAnsi"/>
                <w:sz w:val="20"/>
                <w:szCs w:val="20"/>
              </w:rPr>
            </w:pPr>
            <w:r>
              <w:rPr>
                <w:rFonts w:cstheme="minorHAnsi"/>
                <w:sz w:val="20"/>
                <w:szCs w:val="20"/>
              </w:rPr>
              <w:t>Number of days</w:t>
            </w:r>
          </w:p>
        </w:tc>
      </w:tr>
      <w:tr w:rsidR="00FE1C11" w:rsidRPr="00007D3B" w14:paraId="4F17AF8F" w14:textId="77777777" w:rsidTr="00AA1ABE">
        <w:tc>
          <w:tcPr>
            <w:tcW w:w="3933" w:type="dxa"/>
          </w:tcPr>
          <w:p w14:paraId="010A6742" w14:textId="77777777" w:rsidR="00FE1C11" w:rsidRPr="00821062" w:rsidRDefault="00FE1C11" w:rsidP="00AA1ABE">
            <w:pPr>
              <w:rPr>
                <w:rFonts w:cstheme="minorHAnsi"/>
              </w:rPr>
            </w:pPr>
            <w:r w:rsidRPr="00821062">
              <w:rPr>
                <w:rFonts w:cstheme="minorHAnsi"/>
                <w:color w:val="212121"/>
                <w:shd w:val="clear" w:color="auto" w:fill="FFFFFF"/>
              </w:rPr>
              <w:t xml:space="preserve">O'Carroll O, </w:t>
            </w:r>
            <w:proofErr w:type="spellStart"/>
            <w:r w:rsidRPr="00821062">
              <w:rPr>
                <w:rFonts w:cstheme="minorHAnsi"/>
                <w:color w:val="212121"/>
                <w:shd w:val="clear" w:color="auto" w:fill="FFFFFF"/>
              </w:rPr>
              <w:t>MacCann</w:t>
            </w:r>
            <w:proofErr w:type="spellEnd"/>
            <w:r w:rsidRPr="00821062">
              <w:rPr>
                <w:rFonts w:cstheme="minorHAnsi"/>
                <w:color w:val="212121"/>
                <w:shd w:val="clear" w:color="auto" w:fill="FFFFFF"/>
              </w:rPr>
              <w:t xml:space="preserve"> R, O'Reilly A, </w:t>
            </w:r>
            <w:proofErr w:type="spellStart"/>
            <w:r w:rsidRPr="00821062">
              <w:rPr>
                <w:rFonts w:cstheme="minorHAnsi"/>
                <w:color w:val="212121"/>
                <w:shd w:val="clear" w:color="auto" w:fill="FFFFFF"/>
              </w:rPr>
              <w:t>Dunican</w:t>
            </w:r>
            <w:proofErr w:type="spellEnd"/>
            <w:r w:rsidRPr="00821062">
              <w:rPr>
                <w:rFonts w:cstheme="minorHAnsi"/>
                <w:color w:val="212121"/>
                <w:shd w:val="clear" w:color="auto" w:fill="FFFFFF"/>
              </w:rPr>
              <w:t xml:space="preserve"> EM, Feeney ER, Ryan S, Cotter A, Mallon PW, Keane MP, Butler MW, McCarthy C. Remote monitoring of oxygen saturation in individuals with COVID-19 pneumonia. Eur Respir J. 2020 Aug 13;56(2):2001492. </w:t>
            </w:r>
            <w:proofErr w:type="spellStart"/>
            <w:r w:rsidRPr="00821062">
              <w:rPr>
                <w:rFonts w:cstheme="minorHAnsi"/>
                <w:color w:val="212121"/>
                <w:shd w:val="clear" w:color="auto" w:fill="FFFFFF"/>
              </w:rPr>
              <w:t>doi</w:t>
            </w:r>
            <w:proofErr w:type="spellEnd"/>
            <w:r w:rsidRPr="00821062">
              <w:rPr>
                <w:rFonts w:cstheme="minorHAnsi"/>
                <w:color w:val="212121"/>
                <w:shd w:val="clear" w:color="auto" w:fill="FFFFFF"/>
              </w:rPr>
              <w:t>: 10.1183/13993003.01492-2020. PMID: 32616588; PMCID: PMC7331654.</w:t>
            </w:r>
          </w:p>
        </w:tc>
        <w:tc>
          <w:tcPr>
            <w:tcW w:w="1101" w:type="dxa"/>
          </w:tcPr>
          <w:p w14:paraId="07280C6C" w14:textId="77777777" w:rsidR="00FE1C11" w:rsidRDefault="00FE1C11" w:rsidP="00AA1ABE">
            <w:pPr>
              <w:rPr>
                <w:rFonts w:cstheme="minorHAnsi"/>
                <w:sz w:val="20"/>
                <w:szCs w:val="20"/>
              </w:rPr>
            </w:pPr>
            <w:r>
              <w:rPr>
                <w:rFonts w:cstheme="minorHAnsi"/>
                <w:sz w:val="20"/>
                <w:szCs w:val="20"/>
              </w:rPr>
              <w:t>Ireland</w:t>
            </w:r>
          </w:p>
        </w:tc>
        <w:tc>
          <w:tcPr>
            <w:tcW w:w="1057" w:type="dxa"/>
          </w:tcPr>
          <w:p w14:paraId="26713C9D" w14:textId="77777777" w:rsidR="00FE1C11" w:rsidRPr="00007D3B" w:rsidRDefault="00FE1C11" w:rsidP="00AA1ABE">
            <w:pPr>
              <w:rPr>
                <w:rFonts w:cstheme="minorHAnsi"/>
                <w:sz w:val="20"/>
                <w:szCs w:val="20"/>
              </w:rPr>
            </w:pPr>
            <w:r>
              <w:rPr>
                <w:rFonts w:cstheme="minorHAnsi"/>
                <w:sz w:val="20"/>
                <w:szCs w:val="20"/>
              </w:rPr>
              <w:t>18</w:t>
            </w:r>
          </w:p>
        </w:tc>
        <w:tc>
          <w:tcPr>
            <w:tcW w:w="1393" w:type="dxa"/>
          </w:tcPr>
          <w:p w14:paraId="612F2CE9" w14:textId="77777777" w:rsidR="00FE1C11" w:rsidRDefault="00FE1C11" w:rsidP="00AA1ABE">
            <w:pPr>
              <w:rPr>
                <w:rFonts w:cstheme="minorHAnsi"/>
                <w:sz w:val="20"/>
                <w:szCs w:val="20"/>
              </w:rPr>
            </w:pPr>
            <w:r>
              <w:rPr>
                <w:rFonts w:cstheme="minorHAnsi"/>
                <w:sz w:val="20"/>
                <w:szCs w:val="20"/>
              </w:rPr>
              <w:t>SaO2</w:t>
            </w:r>
          </w:p>
          <w:p w14:paraId="69DACEFB" w14:textId="77777777" w:rsidR="00FE1C11" w:rsidRDefault="00FE1C11" w:rsidP="00AA1ABE">
            <w:pPr>
              <w:rPr>
                <w:rFonts w:cstheme="minorHAnsi"/>
                <w:sz w:val="20"/>
                <w:szCs w:val="20"/>
              </w:rPr>
            </w:pPr>
          </w:p>
          <w:p w14:paraId="0A435DBC" w14:textId="77777777" w:rsidR="00FE1C11" w:rsidRDefault="00FE1C11" w:rsidP="00AA1ABE">
            <w:pPr>
              <w:rPr>
                <w:rFonts w:cstheme="minorHAnsi"/>
                <w:sz w:val="20"/>
                <w:szCs w:val="20"/>
              </w:rPr>
            </w:pPr>
            <w:r>
              <w:rPr>
                <w:rFonts w:cstheme="minorHAnsi"/>
                <w:sz w:val="20"/>
                <w:szCs w:val="20"/>
              </w:rPr>
              <w:t>Analogue breathlessness scale</w:t>
            </w:r>
          </w:p>
          <w:p w14:paraId="556FB403" w14:textId="77777777" w:rsidR="00FE1C11" w:rsidRDefault="00FE1C11" w:rsidP="00AA1ABE">
            <w:pPr>
              <w:rPr>
                <w:rFonts w:cstheme="minorHAnsi"/>
                <w:sz w:val="20"/>
                <w:szCs w:val="20"/>
              </w:rPr>
            </w:pPr>
          </w:p>
          <w:p w14:paraId="3959B234" w14:textId="77777777" w:rsidR="00FE1C11" w:rsidRDefault="00FE1C11" w:rsidP="00AA1ABE">
            <w:pPr>
              <w:rPr>
                <w:rFonts w:cstheme="minorHAnsi"/>
                <w:sz w:val="20"/>
                <w:szCs w:val="20"/>
              </w:rPr>
            </w:pPr>
            <w:r>
              <w:rPr>
                <w:rFonts w:cstheme="minorHAnsi"/>
                <w:sz w:val="20"/>
                <w:szCs w:val="20"/>
              </w:rPr>
              <w:t>Patient App and SMS text to clinicians</w:t>
            </w:r>
          </w:p>
        </w:tc>
        <w:tc>
          <w:tcPr>
            <w:tcW w:w="1031" w:type="dxa"/>
          </w:tcPr>
          <w:p w14:paraId="411649EF" w14:textId="77777777" w:rsidR="00FE1C11" w:rsidRPr="00007D3B" w:rsidRDefault="00FE1C11" w:rsidP="00AA1ABE">
            <w:pPr>
              <w:rPr>
                <w:rFonts w:cstheme="minorHAnsi"/>
                <w:sz w:val="20"/>
                <w:szCs w:val="20"/>
              </w:rPr>
            </w:pPr>
            <w:r>
              <w:rPr>
                <w:rFonts w:cstheme="minorHAnsi"/>
                <w:sz w:val="20"/>
                <w:szCs w:val="20"/>
              </w:rPr>
              <w:t>51 (2.8 per patient)</w:t>
            </w:r>
          </w:p>
        </w:tc>
        <w:tc>
          <w:tcPr>
            <w:tcW w:w="808" w:type="dxa"/>
          </w:tcPr>
          <w:p w14:paraId="0F1F35E3" w14:textId="77777777" w:rsidR="00FE1C11" w:rsidRPr="00007D3B" w:rsidRDefault="00FE1C11" w:rsidP="00AA1ABE">
            <w:pPr>
              <w:rPr>
                <w:rFonts w:cstheme="minorHAnsi"/>
                <w:sz w:val="20"/>
                <w:szCs w:val="20"/>
              </w:rPr>
            </w:pPr>
            <w:r>
              <w:rPr>
                <w:rFonts w:cstheme="minorHAnsi"/>
                <w:sz w:val="20"/>
                <w:szCs w:val="20"/>
              </w:rPr>
              <w:t>5 (10% of alerts)</w:t>
            </w:r>
          </w:p>
        </w:tc>
        <w:tc>
          <w:tcPr>
            <w:tcW w:w="1011" w:type="dxa"/>
          </w:tcPr>
          <w:p w14:paraId="3B62F3B2" w14:textId="77777777" w:rsidR="00FE1C11" w:rsidRPr="00007D3B" w:rsidRDefault="00FE1C11" w:rsidP="00AA1ABE">
            <w:pPr>
              <w:rPr>
                <w:rFonts w:cstheme="minorHAnsi"/>
                <w:sz w:val="20"/>
                <w:szCs w:val="20"/>
              </w:rPr>
            </w:pPr>
            <w:r>
              <w:rPr>
                <w:rFonts w:cstheme="minorHAnsi"/>
                <w:sz w:val="20"/>
                <w:szCs w:val="20"/>
              </w:rPr>
              <w:t>4 (22% of cases)</w:t>
            </w:r>
          </w:p>
        </w:tc>
        <w:tc>
          <w:tcPr>
            <w:tcW w:w="1011" w:type="dxa"/>
          </w:tcPr>
          <w:p w14:paraId="5E2BD046" w14:textId="77777777" w:rsidR="00FE1C11" w:rsidRPr="00007D3B" w:rsidRDefault="00FE1C11" w:rsidP="00AA1ABE">
            <w:pPr>
              <w:rPr>
                <w:rFonts w:cstheme="minorHAnsi"/>
                <w:sz w:val="20"/>
                <w:szCs w:val="20"/>
              </w:rPr>
            </w:pPr>
            <w:r>
              <w:rPr>
                <w:rFonts w:cstheme="minorHAnsi"/>
                <w:sz w:val="20"/>
                <w:szCs w:val="20"/>
              </w:rPr>
              <w:t>Not stated</w:t>
            </w:r>
          </w:p>
        </w:tc>
        <w:tc>
          <w:tcPr>
            <w:tcW w:w="804" w:type="dxa"/>
          </w:tcPr>
          <w:p w14:paraId="51E1FAC0" w14:textId="77777777" w:rsidR="00FE1C11" w:rsidRPr="00007D3B" w:rsidRDefault="00FE1C11" w:rsidP="00AA1ABE">
            <w:pPr>
              <w:rPr>
                <w:rFonts w:cstheme="minorHAnsi"/>
                <w:sz w:val="20"/>
                <w:szCs w:val="20"/>
              </w:rPr>
            </w:pPr>
            <w:r>
              <w:rPr>
                <w:rFonts w:cstheme="minorHAnsi"/>
                <w:sz w:val="20"/>
                <w:szCs w:val="20"/>
              </w:rPr>
              <w:t>48</w:t>
            </w:r>
          </w:p>
        </w:tc>
        <w:tc>
          <w:tcPr>
            <w:tcW w:w="811" w:type="dxa"/>
          </w:tcPr>
          <w:p w14:paraId="655D721D" w14:textId="77777777" w:rsidR="00FE1C11" w:rsidRDefault="00FE1C11" w:rsidP="00AA1ABE">
            <w:pPr>
              <w:rPr>
                <w:rFonts w:cstheme="minorHAnsi"/>
                <w:sz w:val="20"/>
                <w:szCs w:val="20"/>
              </w:rPr>
            </w:pPr>
            <w:r>
              <w:rPr>
                <w:rFonts w:cstheme="minorHAnsi"/>
                <w:sz w:val="20"/>
                <w:szCs w:val="20"/>
              </w:rPr>
              <w:t>≤94%</w:t>
            </w:r>
          </w:p>
          <w:p w14:paraId="4CEF9E9F" w14:textId="77777777" w:rsidR="00FE1C11" w:rsidRDefault="00FE1C11" w:rsidP="00AA1ABE">
            <w:pPr>
              <w:rPr>
                <w:rFonts w:cstheme="minorHAnsi"/>
                <w:sz w:val="20"/>
                <w:szCs w:val="20"/>
              </w:rPr>
            </w:pPr>
          </w:p>
          <w:p w14:paraId="1FA51CAB" w14:textId="77777777" w:rsidR="00FE1C11" w:rsidRPr="00007D3B" w:rsidRDefault="00FE1C11" w:rsidP="00AA1ABE">
            <w:pPr>
              <w:rPr>
                <w:rFonts w:cstheme="minorHAnsi"/>
                <w:sz w:val="20"/>
                <w:szCs w:val="20"/>
              </w:rPr>
            </w:pPr>
            <w:r>
              <w:rPr>
                <w:rFonts w:cstheme="minorHAnsi"/>
                <w:sz w:val="20"/>
                <w:szCs w:val="20"/>
              </w:rPr>
              <w:t>(</w:t>
            </w:r>
            <w:proofErr w:type="gramStart"/>
            <w:r>
              <w:rPr>
                <w:rFonts w:cstheme="minorHAnsi"/>
                <w:sz w:val="20"/>
                <w:szCs w:val="20"/>
              </w:rPr>
              <w:t>median</w:t>
            </w:r>
            <w:proofErr w:type="gramEnd"/>
            <w:r>
              <w:rPr>
                <w:rFonts w:cstheme="minorHAnsi"/>
                <w:sz w:val="20"/>
                <w:szCs w:val="20"/>
              </w:rPr>
              <w:t xml:space="preserve"> alert was 91%)</w:t>
            </w:r>
          </w:p>
        </w:tc>
        <w:tc>
          <w:tcPr>
            <w:tcW w:w="988" w:type="dxa"/>
          </w:tcPr>
          <w:p w14:paraId="1C499CF9" w14:textId="77777777" w:rsidR="00FE1C11" w:rsidRDefault="00FE1C11" w:rsidP="00AA1ABE">
            <w:pPr>
              <w:rPr>
                <w:rFonts w:cstheme="minorHAnsi"/>
                <w:sz w:val="20"/>
                <w:szCs w:val="20"/>
              </w:rPr>
            </w:pPr>
            <w:r>
              <w:rPr>
                <w:rFonts w:cstheme="minorHAnsi"/>
                <w:sz w:val="20"/>
                <w:szCs w:val="20"/>
              </w:rPr>
              <w:t>14</w:t>
            </w:r>
          </w:p>
        </w:tc>
      </w:tr>
      <w:tr w:rsidR="00FE1C11" w:rsidRPr="00007D3B" w14:paraId="0C7F67B1" w14:textId="77777777" w:rsidTr="00AA1ABE">
        <w:tc>
          <w:tcPr>
            <w:tcW w:w="3933" w:type="dxa"/>
          </w:tcPr>
          <w:p w14:paraId="5AB6D624" w14:textId="77777777" w:rsidR="00FE1C11" w:rsidRPr="00821062" w:rsidRDefault="00FE1C11" w:rsidP="00AA1ABE">
            <w:pPr>
              <w:rPr>
                <w:rFonts w:cstheme="minorHAnsi"/>
              </w:rPr>
            </w:pPr>
            <w:proofErr w:type="spellStart"/>
            <w:r w:rsidRPr="00821062">
              <w:rPr>
                <w:rFonts w:cstheme="minorHAnsi"/>
              </w:rPr>
              <w:t>Grutters</w:t>
            </w:r>
            <w:proofErr w:type="spellEnd"/>
            <w:r w:rsidRPr="00821062">
              <w:rPr>
                <w:rFonts w:cstheme="minorHAnsi"/>
              </w:rPr>
              <w:t xml:space="preserve"> LA, </w:t>
            </w:r>
            <w:proofErr w:type="spellStart"/>
            <w:r w:rsidRPr="00821062">
              <w:rPr>
                <w:rFonts w:cstheme="minorHAnsi"/>
              </w:rPr>
              <w:t>Majoor</w:t>
            </w:r>
            <w:proofErr w:type="spellEnd"/>
            <w:r w:rsidRPr="00821062">
              <w:rPr>
                <w:rFonts w:cstheme="minorHAnsi"/>
              </w:rPr>
              <w:t xml:space="preserve"> KI, </w:t>
            </w:r>
            <w:proofErr w:type="spellStart"/>
            <w:r w:rsidRPr="00821062">
              <w:rPr>
                <w:rFonts w:cstheme="minorHAnsi"/>
              </w:rPr>
              <w:t>Mattern</w:t>
            </w:r>
            <w:proofErr w:type="spellEnd"/>
            <w:r w:rsidRPr="00821062">
              <w:rPr>
                <w:rFonts w:cstheme="minorHAnsi"/>
              </w:rPr>
              <w:t xml:space="preserve"> ESK, et al. Home telemonitoring makes early hospital discharge of COVID-19 patients possible. </w:t>
            </w:r>
            <w:r w:rsidRPr="00821062">
              <w:rPr>
                <w:rFonts w:cstheme="minorHAnsi"/>
                <w:i/>
                <w:iCs/>
              </w:rPr>
              <w:t xml:space="preserve">J Am Med Inform Assoc </w:t>
            </w:r>
            <w:proofErr w:type="gramStart"/>
            <w:r w:rsidRPr="00821062">
              <w:rPr>
                <w:rFonts w:cstheme="minorHAnsi"/>
              </w:rPr>
              <w:t>2020:ocaa</w:t>
            </w:r>
            <w:proofErr w:type="gramEnd"/>
            <w:r w:rsidRPr="00821062">
              <w:rPr>
                <w:rFonts w:cstheme="minorHAnsi"/>
              </w:rPr>
              <w:t xml:space="preserve">168. </w:t>
            </w:r>
            <w:proofErr w:type="spellStart"/>
            <w:r w:rsidRPr="00821062">
              <w:rPr>
                <w:rFonts w:cstheme="minorHAnsi"/>
              </w:rPr>
              <w:t>doi</w:t>
            </w:r>
            <w:proofErr w:type="spellEnd"/>
            <w:r w:rsidRPr="00821062">
              <w:rPr>
                <w:rFonts w:cstheme="minorHAnsi"/>
              </w:rPr>
              <w:t>: 10.1093/</w:t>
            </w:r>
            <w:proofErr w:type="spellStart"/>
            <w:r w:rsidRPr="00821062">
              <w:rPr>
                <w:rFonts w:cstheme="minorHAnsi"/>
              </w:rPr>
              <w:t>jamia</w:t>
            </w:r>
            <w:proofErr w:type="spellEnd"/>
            <w:r w:rsidRPr="00821062">
              <w:rPr>
                <w:rFonts w:cstheme="minorHAnsi"/>
              </w:rPr>
              <w:t>/ocaa168</w:t>
            </w:r>
          </w:p>
        </w:tc>
        <w:tc>
          <w:tcPr>
            <w:tcW w:w="1101" w:type="dxa"/>
          </w:tcPr>
          <w:p w14:paraId="33421113" w14:textId="77777777" w:rsidR="00FE1C11" w:rsidRPr="00007D3B" w:rsidRDefault="00FE1C11" w:rsidP="00AA1ABE">
            <w:pPr>
              <w:rPr>
                <w:rFonts w:cstheme="minorHAnsi"/>
                <w:sz w:val="20"/>
                <w:szCs w:val="20"/>
              </w:rPr>
            </w:pPr>
            <w:r>
              <w:rPr>
                <w:rFonts w:cstheme="minorHAnsi"/>
                <w:sz w:val="20"/>
                <w:szCs w:val="20"/>
              </w:rPr>
              <w:t>Netherlands</w:t>
            </w:r>
          </w:p>
        </w:tc>
        <w:tc>
          <w:tcPr>
            <w:tcW w:w="1057" w:type="dxa"/>
          </w:tcPr>
          <w:p w14:paraId="0895D242" w14:textId="77777777" w:rsidR="00FE1C11" w:rsidRPr="00007D3B" w:rsidRDefault="00FE1C11" w:rsidP="00AA1ABE">
            <w:pPr>
              <w:rPr>
                <w:rFonts w:cstheme="minorHAnsi"/>
                <w:sz w:val="20"/>
                <w:szCs w:val="20"/>
              </w:rPr>
            </w:pPr>
            <w:r>
              <w:rPr>
                <w:rFonts w:cstheme="minorHAnsi"/>
                <w:sz w:val="20"/>
                <w:szCs w:val="20"/>
              </w:rPr>
              <w:t xml:space="preserve">33 (20 had </w:t>
            </w:r>
            <w:proofErr w:type="gramStart"/>
            <w:r>
              <w:rPr>
                <w:rFonts w:cstheme="minorHAnsi"/>
                <w:sz w:val="20"/>
                <w:szCs w:val="20"/>
              </w:rPr>
              <w:t>home  oxygen</w:t>
            </w:r>
            <w:proofErr w:type="gramEnd"/>
            <w:r>
              <w:rPr>
                <w:rFonts w:cstheme="minorHAnsi"/>
                <w:sz w:val="20"/>
                <w:szCs w:val="20"/>
              </w:rPr>
              <w:t>)</w:t>
            </w:r>
          </w:p>
        </w:tc>
        <w:tc>
          <w:tcPr>
            <w:tcW w:w="1393" w:type="dxa"/>
          </w:tcPr>
          <w:p w14:paraId="76AFE4F9" w14:textId="77777777" w:rsidR="00FE1C11" w:rsidRDefault="00FE1C11" w:rsidP="00AA1ABE">
            <w:pPr>
              <w:rPr>
                <w:rFonts w:cstheme="minorHAnsi"/>
                <w:sz w:val="20"/>
                <w:szCs w:val="20"/>
              </w:rPr>
            </w:pPr>
            <w:r>
              <w:rPr>
                <w:rFonts w:cstheme="minorHAnsi"/>
                <w:sz w:val="20"/>
                <w:szCs w:val="20"/>
              </w:rPr>
              <w:t>SaO2</w:t>
            </w:r>
          </w:p>
          <w:p w14:paraId="54F00ABC" w14:textId="77777777" w:rsidR="00FE1C11" w:rsidRDefault="00FE1C11" w:rsidP="00AA1ABE">
            <w:pPr>
              <w:rPr>
                <w:rFonts w:cstheme="minorHAnsi"/>
                <w:sz w:val="20"/>
                <w:szCs w:val="20"/>
              </w:rPr>
            </w:pPr>
            <w:r>
              <w:rPr>
                <w:rFonts w:cstheme="minorHAnsi"/>
                <w:sz w:val="20"/>
                <w:szCs w:val="20"/>
              </w:rPr>
              <w:t>symptom score</w:t>
            </w:r>
          </w:p>
          <w:p w14:paraId="17D8A5E4" w14:textId="77777777" w:rsidR="00FE1C11" w:rsidRDefault="00FE1C11" w:rsidP="00AA1ABE">
            <w:pPr>
              <w:rPr>
                <w:rFonts w:cstheme="minorHAnsi"/>
                <w:sz w:val="20"/>
                <w:szCs w:val="20"/>
              </w:rPr>
            </w:pPr>
          </w:p>
          <w:p w14:paraId="6D60DC44" w14:textId="77777777" w:rsidR="00FE1C11" w:rsidRPr="00007D3B" w:rsidRDefault="00FE1C11" w:rsidP="00AA1ABE">
            <w:pPr>
              <w:rPr>
                <w:rFonts w:cstheme="minorHAnsi"/>
                <w:sz w:val="20"/>
                <w:szCs w:val="20"/>
              </w:rPr>
            </w:pPr>
            <w:r>
              <w:rPr>
                <w:rFonts w:cstheme="minorHAnsi"/>
                <w:sz w:val="20"/>
                <w:szCs w:val="20"/>
              </w:rPr>
              <w:t>App</w:t>
            </w:r>
          </w:p>
        </w:tc>
        <w:tc>
          <w:tcPr>
            <w:tcW w:w="1031" w:type="dxa"/>
          </w:tcPr>
          <w:p w14:paraId="37EEFEA3" w14:textId="77777777" w:rsidR="00FE1C11" w:rsidRPr="00007D3B" w:rsidRDefault="00FE1C11" w:rsidP="00AA1ABE">
            <w:pPr>
              <w:rPr>
                <w:rFonts w:cstheme="minorHAnsi"/>
                <w:sz w:val="20"/>
                <w:szCs w:val="20"/>
              </w:rPr>
            </w:pPr>
            <w:r>
              <w:rPr>
                <w:rFonts w:cstheme="minorHAnsi"/>
                <w:sz w:val="20"/>
                <w:szCs w:val="20"/>
              </w:rPr>
              <w:t>238 (7.2 contacts per patient)</w:t>
            </w:r>
          </w:p>
        </w:tc>
        <w:tc>
          <w:tcPr>
            <w:tcW w:w="808" w:type="dxa"/>
          </w:tcPr>
          <w:p w14:paraId="66AB7646" w14:textId="77777777" w:rsidR="00FE1C11" w:rsidRDefault="00FE1C11" w:rsidP="00AA1ABE">
            <w:pPr>
              <w:rPr>
                <w:rFonts w:cstheme="minorHAnsi"/>
                <w:sz w:val="20"/>
                <w:szCs w:val="20"/>
              </w:rPr>
            </w:pPr>
            <w:r>
              <w:rPr>
                <w:rFonts w:cstheme="minorHAnsi"/>
                <w:sz w:val="20"/>
                <w:szCs w:val="20"/>
              </w:rPr>
              <w:t>6 (18% of cases)</w:t>
            </w:r>
          </w:p>
          <w:p w14:paraId="5AE54B12" w14:textId="77777777" w:rsidR="00FE1C11" w:rsidRPr="00007D3B" w:rsidRDefault="00FE1C11" w:rsidP="00AA1ABE">
            <w:pPr>
              <w:rPr>
                <w:rFonts w:cstheme="minorHAnsi"/>
                <w:sz w:val="20"/>
                <w:szCs w:val="20"/>
              </w:rPr>
            </w:pPr>
            <w:proofErr w:type="gramStart"/>
            <w:r>
              <w:rPr>
                <w:rFonts w:cstheme="minorHAnsi"/>
                <w:sz w:val="20"/>
                <w:szCs w:val="20"/>
              </w:rPr>
              <w:t>?PE</w:t>
            </w:r>
            <w:proofErr w:type="gramEnd"/>
            <w:r>
              <w:rPr>
                <w:rFonts w:cstheme="minorHAnsi"/>
                <w:sz w:val="20"/>
                <w:szCs w:val="20"/>
              </w:rPr>
              <w:t xml:space="preserve"> 3</w:t>
            </w:r>
          </w:p>
        </w:tc>
        <w:tc>
          <w:tcPr>
            <w:tcW w:w="1011" w:type="dxa"/>
          </w:tcPr>
          <w:p w14:paraId="297DE41B" w14:textId="77777777" w:rsidR="00FE1C11" w:rsidRPr="00007D3B" w:rsidRDefault="00FE1C11" w:rsidP="00AA1ABE">
            <w:pPr>
              <w:rPr>
                <w:rFonts w:cstheme="minorHAnsi"/>
                <w:sz w:val="20"/>
                <w:szCs w:val="20"/>
              </w:rPr>
            </w:pPr>
            <w:r>
              <w:rPr>
                <w:rFonts w:cstheme="minorHAnsi"/>
                <w:sz w:val="20"/>
                <w:szCs w:val="20"/>
              </w:rPr>
              <w:t>3 (9% of cases)</w:t>
            </w:r>
          </w:p>
        </w:tc>
        <w:tc>
          <w:tcPr>
            <w:tcW w:w="1011" w:type="dxa"/>
          </w:tcPr>
          <w:p w14:paraId="5DA4AF3B" w14:textId="77777777" w:rsidR="00FE1C11" w:rsidRDefault="00FE1C11" w:rsidP="00AA1ABE">
            <w:pPr>
              <w:rPr>
                <w:rFonts w:cstheme="minorHAnsi"/>
                <w:sz w:val="20"/>
                <w:szCs w:val="20"/>
              </w:rPr>
            </w:pPr>
          </w:p>
          <w:p w14:paraId="11E358F5" w14:textId="77777777" w:rsidR="00FE1C11" w:rsidRPr="00007D3B" w:rsidRDefault="00FE1C11" w:rsidP="00AA1ABE">
            <w:pPr>
              <w:rPr>
                <w:rFonts w:cstheme="minorHAnsi"/>
                <w:sz w:val="20"/>
                <w:szCs w:val="20"/>
              </w:rPr>
            </w:pPr>
            <w:r>
              <w:rPr>
                <w:rFonts w:cstheme="minorHAnsi"/>
                <w:sz w:val="20"/>
                <w:szCs w:val="20"/>
              </w:rPr>
              <w:t>Not stated</w:t>
            </w:r>
          </w:p>
        </w:tc>
        <w:tc>
          <w:tcPr>
            <w:tcW w:w="804" w:type="dxa"/>
          </w:tcPr>
          <w:p w14:paraId="59D85F68" w14:textId="77777777" w:rsidR="00FE1C11" w:rsidRPr="00007D3B" w:rsidRDefault="00FE1C11" w:rsidP="00AA1ABE">
            <w:pPr>
              <w:rPr>
                <w:rFonts w:cstheme="minorHAnsi"/>
                <w:sz w:val="20"/>
                <w:szCs w:val="20"/>
              </w:rPr>
            </w:pPr>
            <w:r>
              <w:rPr>
                <w:rFonts w:cstheme="minorHAnsi"/>
                <w:sz w:val="20"/>
                <w:szCs w:val="20"/>
              </w:rPr>
              <w:t>57</w:t>
            </w:r>
          </w:p>
        </w:tc>
        <w:tc>
          <w:tcPr>
            <w:tcW w:w="811" w:type="dxa"/>
          </w:tcPr>
          <w:p w14:paraId="5CD0FFA8" w14:textId="77777777" w:rsidR="00FE1C11" w:rsidRPr="00007D3B" w:rsidRDefault="00FE1C11" w:rsidP="00AA1ABE">
            <w:pPr>
              <w:rPr>
                <w:rFonts w:cstheme="minorHAnsi"/>
                <w:sz w:val="20"/>
                <w:szCs w:val="20"/>
              </w:rPr>
            </w:pPr>
            <w:r>
              <w:rPr>
                <w:rFonts w:cstheme="minorHAnsi"/>
                <w:sz w:val="20"/>
                <w:szCs w:val="20"/>
              </w:rPr>
              <w:t>Not stated</w:t>
            </w:r>
          </w:p>
        </w:tc>
        <w:tc>
          <w:tcPr>
            <w:tcW w:w="988" w:type="dxa"/>
          </w:tcPr>
          <w:p w14:paraId="58ECB8EE" w14:textId="77777777" w:rsidR="00FE1C11" w:rsidRPr="00007D3B" w:rsidRDefault="00FE1C11" w:rsidP="00AA1ABE">
            <w:pPr>
              <w:rPr>
                <w:rFonts w:cstheme="minorHAnsi"/>
                <w:sz w:val="20"/>
                <w:szCs w:val="20"/>
              </w:rPr>
            </w:pPr>
            <w:r>
              <w:rPr>
                <w:rFonts w:cstheme="minorHAnsi"/>
                <w:sz w:val="20"/>
                <w:szCs w:val="20"/>
              </w:rPr>
              <w:t>13.4</w:t>
            </w:r>
          </w:p>
        </w:tc>
      </w:tr>
      <w:tr w:rsidR="00FE1C11" w:rsidRPr="00007D3B" w14:paraId="13D8CB68" w14:textId="77777777" w:rsidTr="00AA1ABE">
        <w:tc>
          <w:tcPr>
            <w:tcW w:w="3933" w:type="dxa"/>
          </w:tcPr>
          <w:p w14:paraId="0EB9B3FE" w14:textId="77777777" w:rsidR="00FE1C11" w:rsidRPr="00821062" w:rsidRDefault="00FE1C11" w:rsidP="00AA1ABE">
            <w:pPr>
              <w:rPr>
                <w:rFonts w:cstheme="minorHAnsi"/>
              </w:rPr>
            </w:pPr>
            <w:r w:rsidRPr="00821062">
              <w:rPr>
                <w:rFonts w:cstheme="minorHAnsi"/>
                <w:color w:val="212121"/>
                <w:shd w:val="clear" w:color="auto" w:fill="FFFFFF"/>
              </w:rPr>
              <w:t xml:space="preserve">Gordon WJ, Henderson D, </w:t>
            </w:r>
            <w:proofErr w:type="spellStart"/>
            <w:r w:rsidRPr="00821062">
              <w:rPr>
                <w:rFonts w:cstheme="minorHAnsi"/>
                <w:color w:val="212121"/>
                <w:shd w:val="clear" w:color="auto" w:fill="FFFFFF"/>
              </w:rPr>
              <w:t>DeSharone</w:t>
            </w:r>
            <w:proofErr w:type="spellEnd"/>
            <w:r w:rsidRPr="00821062">
              <w:rPr>
                <w:rFonts w:cstheme="minorHAnsi"/>
                <w:color w:val="212121"/>
                <w:shd w:val="clear" w:color="auto" w:fill="FFFFFF"/>
              </w:rPr>
              <w:t xml:space="preserve"> A, Fisher HN, Judge J, Levine DM, MacLean L, Sousa D, Su MY, Boxer R. Remote Patient Monitoring Program for Hospital Discharged COVID-19 Patients. </w:t>
            </w:r>
            <w:proofErr w:type="spellStart"/>
            <w:r w:rsidRPr="00821062">
              <w:rPr>
                <w:rFonts w:cstheme="minorHAnsi"/>
                <w:color w:val="212121"/>
                <w:shd w:val="clear" w:color="auto" w:fill="FFFFFF"/>
              </w:rPr>
              <w:t>Appl</w:t>
            </w:r>
            <w:proofErr w:type="spellEnd"/>
            <w:r w:rsidRPr="00821062">
              <w:rPr>
                <w:rFonts w:cstheme="minorHAnsi"/>
                <w:color w:val="212121"/>
                <w:shd w:val="clear" w:color="auto" w:fill="FFFFFF"/>
              </w:rPr>
              <w:t xml:space="preserve"> Clin Inform. 2020 Oct;11(5):792-801. </w:t>
            </w:r>
            <w:proofErr w:type="spellStart"/>
            <w:r w:rsidRPr="00821062">
              <w:rPr>
                <w:rFonts w:cstheme="minorHAnsi"/>
                <w:color w:val="212121"/>
                <w:shd w:val="clear" w:color="auto" w:fill="FFFFFF"/>
              </w:rPr>
              <w:t>doi</w:t>
            </w:r>
            <w:proofErr w:type="spellEnd"/>
            <w:r w:rsidRPr="00821062">
              <w:rPr>
                <w:rFonts w:cstheme="minorHAnsi"/>
                <w:color w:val="212121"/>
                <w:shd w:val="clear" w:color="auto" w:fill="FFFFFF"/>
              </w:rPr>
              <w:t xml:space="preserve">: 10.1055/s-0040-1721039. </w:t>
            </w:r>
            <w:proofErr w:type="spellStart"/>
            <w:r w:rsidRPr="00821062">
              <w:rPr>
                <w:rFonts w:cstheme="minorHAnsi"/>
                <w:color w:val="212121"/>
                <w:shd w:val="clear" w:color="auto" w:fill="FFFFFF"/>
              </w:rPr>
              <w:t>Epub</w:t>
            </w:r>
            <w:proofErr w:type="spellEnd"/>
            <w:r w:rsidRPr="00821062">
              <w:rPr>
                <w:rFonts w:cstheme="minorHAnsi"/>
                <w:color w:val="212121"/>
                <w:shd w:val="clear" w:color="auto" w:fill="FFFFFF"/>
              </w:rPr>
              <w:t xml:space="preserve"> 2020 Nov 25. PMID: 33241547; PMCID: PMC7688410.</w:t>
            </w:r>
          </w:p>
        </w:tc>
        <w:tc>
          <w:tcPr>
            <w:tcW w:w="1101" w:type="dxa"/>
          </w:tcPr>
          <w:p w14:paraId="053ABDB7" w14:textId="77777777" w:rsidR="00FE1C11" w:rsidRPr="00007D3B" w:rsidRDefault="00FE1C11" w:rsidP="00AA1ABE">
            <w:pPr>
              <w:rPr>
                <w:rFonts w:cstheme="minorHAnsi"/>
                <w:sz w:val="20"/>
                <w:szCs w:val="20"/>
              </w:rPr>
            </w:pPr>
            <w:r>
              <w:rPr>
                <w:rFonts w:cstheme="minorHAnsi"/>
                <w:sz w:val="20"/>
                <w:szCs w:val="20"/>
              </w:rPr>
              <w:t>USA</w:t>
            </w:r>
          </w:p>
        </w:tc>
        <w:tc>
          <w:tcPr>
            <w:tcW w:w="1057" w:type="dxa"/>
          </w:tcPr>
          <w:p w14:paraId="398CCFED" w14:textId="77777777" w:rsidR="00FE1C11" w:rsidRPr="00007D3B" w:rsidRDefault="00FE1C11" w:rsidP="00AA1ABE">
            <w:pPr>
              <w:rPr>
                <w:rFonts w:cstheme="minorHAnsi"/>
                <w:sz w:val="20"/>
                <w:szCs w:val="20"/>
              </w:rPr>
            </w:pPr>
            <w:r>
              <w:rPr>
                <w:rFonts w:cstheme="minorHAnsi"/>
                <w:sz w:val="20"/>
                <w:szCs w:val="20"/>
              </w:rPr>
              <w:t>225</w:t>
            </w:r>
          </w:p>
        </w:tc>
        <w:tc>
          <w:tcPr>
            <w:tcW w:w="1393" w:type="dxa"/>
          </w:tcPr>
          <w:p w14:paraId="6A1184A5" w14:textId="77777777" w:rsidR="00FE1C11" w:rsidRDefault="00FE1C11" w:rsidP="00AA1ABE">
            <w:pPr>
              <w:rPr>
                <w:rFonts w:cstheme="minorHAnsi"/>
                <w:sz w:val="20"/>
                <w:szCs w:val="20"/>
              </w:rPr>
            </w:pPr>
            <w:r>
              <w:rPr>
                <w:rFonts w:cstheme="minorHAnsi"/>
                <w:sz w:val="20"/>
                <w:szCs w:val="20"/>
              </w:rPr>
              <w:t>SaO2</w:t>
            </w:r>
          </w:p>
          <w:p w14:paraId="3D1AAE12" w14:textId="77777777" w:rsidR="00FE1C11" w:rsidRDefault="00FE1C11" w:rsidP="00AA1ABE">
            <w:pPr>
              <w:rPr>
                <w:rFonts w:cstheme="minorHAnsi"/>
                <w:sz w:val="20"/>
                <w:szCs w:val="20"/>
              </w:rPr>
            </w:pPr>
            <w:r>
              <w:rPr>
                <w:rFonts w:cstheme="minorHAnsi"/>
                <w:sz w:val="20"/>
                <w:szCs w:val="20"/>
              </w:rPr>
              <w:t xml:space="preserve">temperature Symptoms </w:t>
            </w:r>
          </w:p>
          <w:p w14:paraId="4394B33E" w14:textId="77777777" w:rsidR="00FE1C11" w:rsidRDefault="00FE1C11" w:rsidP="00AA1ABE">
            <w:pPr>
              <w:rPr>
                <w:rFonts w:cstheme="minorHAnsi"/>
                <w:sz w:val="20"/>
                <w:szCs w:val="20"/>
              </w:rPr>
            </w:pPr>
          </w:p>
          <w:p w14:paraId="3AAD2F09" w14:textId="77777777" w:rsidR="00FE1C11" w:rsidRPr="00007D3B" w:rsidRDefault="00FE1C11" w:rsidP="00AA1ABE">
            <w:pPr>
              <w:rPr>
                <w:rFonts w:cstheme="minorHAnsi"/>
                <w:sz w:val="20"/>
                <w:szCs w:val="20"/>
              </w:rPr>
            </w:pPr>
            <w:r>
              <w:rPr>
                <w:rFonts w:cstheme="minorHAnsi"/>
                <w:sz w:val="20"/>
                <w:szCs w:val="20"/>
              </w:rPr>
              <w:t>App</w:t>
            </w:r>
          </w:p>
        </w:tc>
        <w:tc>
          <w:tcPr>
            <w:tcW w:w="1031" w:type="dxa"/>
          </w:tcPr>
          <w:p w14:paraId="20F23A1F" w14:textId="77777777" w:rsidR="00FE1C11" w:rsidRPr="00007D3B" w:rsidRDefault="00FE1C11" w:rsidP="00AA1ABE">
            <w:pPr>
              <w:rPr>
                <w:rFonts w:cstheme="minorHAnsi"/>
                <w:sz w:val="20"/>
                <w:szCs w:val="20"/>
              </w:rPr>
            </w:pPr>
            <w:r>
              <w:rPr>
                <w:rFonts w:cstheme="minorHAnsi"/>
                <w:sz w:val="20"/>
                <w:szCs w:val="20"/>
              </w:rPr>
              <w:t xml:space="preserve">72 vital sign alert (saturation 11, temp </w:t>
            </w:r>
            <w:proofErr w:type="gramStart"/>
            <w:r>
              <w:rPr>
                <w:rFonts w:cstheme="minorHAnsi"/>
                <w:sz w:val="20"/>
                <w:szCs w:val="20"/>
              </w:rPr>
              <w:t>239,  in</w:t>
            </w:r>
            <w:proofErr w:type="gramEnd"/>
            <w:r>
              <w:rPr>
                <w:rFonts w:cstheme="minorHAnsi"/>
                <w:sz w:val="20"/>
                <w:szCs w:val="20"/>
              </w:rPr>
              <w:t xml:space="preserve"> total, </w:t>
            </w:r>
          </w:p>
        </w:tc>
        <w:tc>
          <w:tcPr>
            <w:tcW w:w="808" w:type="dxa"/>
          </w:tcPr>
          <w:p w14:paraId="07AC868A" w14:textId="77777777" w:rsidR="00FE1C11" w:rsidRPr="00007D3B" w:rsidRDefault="00FE1C11" w:rsidP="00AA1ABE">
            <w:pPr>
              <w:rPr>
                <w:rFonts w:cstheme="minorHAnsi"/>
                <w:sz w:val="20"/>
                <w:szCs w:val="20"/>
              </w:rPr>
            </w:pPr>
            <w:r>
              <w:rPr>
                <w:rFonts w:cstheme="minorHAnsi"/>
                <w:sz w:val="20"/>
                <w:szCs w:val="20"/>
              </w:rPr>
              <w:t xml:space="preserve">868 calls </w:t>
            </w:r>
          </w:p>
        </w:tc>
        <w:tc>
          <w:tcPr>
            <w:tcW w:w="1011" w:type="dxa"/>
          </w:tcPr>
          <w:p w14:paraId="00B2165B" w14:textId="77777777" w:rsidR="00FE1C11" w:rsidRPr="00007D3B" w:rsidRDefault="00FE1C11" w:rsidP="00AA1ABE">
            <w:pPr>
              <w:rPr>
                <w:rFonts w:cstheme="minorHAnsi"/>
                <w:sz w:val="20"/>
                <w:szCs w:val="20"/>
              </w:rPr>
            </w:pPr>
            <w:r>
              <w:rPr>
                <w:rFonts w:cstheme="minorHAnsi"/>
                <w:sz w:val="20"/>
                <w:szCs w:val="20"/>
              </w:rPr>
              <w:t>66</w:t>
            </w:r>
          </w:p>
        </w:tc>
        <w:tc>
          <w:tcPr>
            <w:tcW w:w="1011" w:type="dxa"/>
          </w:tcPr>
          <w:p w14:paraId="4B1059B4" w14:textId="77777777" w:rsidR="00FE1C11" w:rsidRPr="00007D3B" w:rsidRDefault="00FE1C11" w:rsidP="00AA1ABE">
            <w:pPr>
              <w:rPr>
                <w:rFonts w:cstheme="minorHAnsi"/>
                <w:sz w:val="20"/>
                <w:szCs w:val="20"/>
              </w:rPr>
            </w:pPr>
            <w:r>
              <w:rPr>
                <w:rFonts w:cstheme="minorHAnsi"/>
                <w:sz w:val="20"/>
                <w:szCs w:val="20"/>
              </w:rPr>
              <w:t>Not stated</w:t>
            </w:r>
          </w:p>
        </w:tc>
        <w:tc>
          <w:tcPr>
            <w:tcW w:w="804" w:type="dxa"/>
          </w:tcPr>
          <w:p w14:paraId="4D4E3485" w14:textId="77777777" w:rsidR="00FE1C11" w:rsidRPr="00007D3B" w:rsidRDefault="00FE1C11" w:rsidP="00AA1ABE">
            <w:pPr>
              <w:rPr>
                <w:rFonts w:cstheme="minorHAnsi"/>
                <w:sz w:val="20"/>
                <w:szCs w:val="20"/>
              </w:rPr>
            </w:pPr>
            <w:r>
              <w:rPr>
                <w:rFonts w:cstheme="minorHAnsi"/>
                <w:sz w:val="20"/>
                <w:szCs w:val="20"/>
              </w:rPr>
              <w:t>56</w:t>
            </w:r>
          </w:p>
        </w:tc>
        <w:tc>
          <w:tcPr>
            <w:tcW w:w="811" w:type="dxa"/>
          </w:tcPr>
          <w:p w14:paraId="4C41A75C" w14:textId="77777777" w:rsidR="00FE1C11" w:rsidRDefault="00FE1C11" w:rsidP="00AA1ABE">
            <w:pPr>
              <w:rPr>
                <w:rFonts w:cstheme="minorHAnsi"/>
                <w:sz w:val="20"/>
                <w:szCs w:val="20"/>
              </w:rPr>
            </w:pPr>
            <w:r>
              <w:rPr>
                <w:rFonts w:cstheme="minorHAnsi"/>
                <w:sz w:val="20"/>
                <w:szCs w:val="20"/>
              </w:rPr>
              <w:t>&lt;92%</w:t>
            </w:r>
          </w:p>
          <w:p w14:paraId="0DBE547C" w14:textId="77777777" w:rsidR="00FE1C11" w:rsidRPr="00007D3B" w:rsidRDefault="00FE1C11" w:rsidP="00AA1ABE">
            <w:pPr>
              <w:rPr>
                <w:rFonts w:cstheme="minorHAnsi"/>
                <w:sz w:val="20"/>
                <w:szCs w:val="20"/>
              </w:rPr>
            </w:pPr>
            <w:r>
              <w:rPr>
                <w:rFonts w:cstheme="minorHAnsi"/>
                <w:sz w:val="20"/>
                <w:szCs w:val="20"/>
              </w:rPr>
              <w:t>Temp &gt; 103F (≥38)</w:t>
            </w:r>
          </w:p>
        </w:tc>
        <w:tc>
          <w:tcPr>
            <w:tcW w:w="988" w:type="dxa"/>
          </w:tcPr>
          <w:p w14:paraId="59BBC747" w14:textId="77777777" w:rsidR="00FE1C11" w:rsidRPr="00007D3B" w:rsidRDefault="00FE1C11" w:rsidP="00AA1ABE">
            <w:pPr>
              <w:rPr>
                <w:rFonts w:cstheme="minorHAnsi"/>
                <w:sz w:val="20"/>
                <w:szCs w:val="20"/>
              </w:rPr>
            </w:pPr>
            <w:r>
              <w:rPr>
                <w:rFonts w:cstheme="minorHAnsi"/>
                <w:sz w:val="20"/>
                <w:szCs w:val="20"/>
              </w:rPr>
              <w:t>181 completed 14 or 21 median 11</w:t>
            </w:r>
          </w:p>
        </w:tc>
      </w:tr>
      <w:tr w:rsidR="00FE1C11" w:rsidRPr="00007D3B" w14:paraId="79E937A4" w14:textId="77777777" w:rsidTr="00AA1ABE">
        <w:tc>
          <w:tcPr>
            <w:tcW w:w="3933" w:type="dxa"/>
          </w:tcPr>
          <w:p w14:paraId="7F001BBC" w14:textId="77777777" w:rsidR="00FE1C11" w:rsidRPr="00821062" w:rsidRDefault="00FE1C11" w:rsidP="00AA1ABE">
            <w:pPr>
              <w:pStyle w:val="Default"/>
              <w:rPr>
                <w:rFonts w:asciiTheme="minorHAnsi" w:hAnsiTheme="minorHAnsi" w:cstheme="minorHAnsi"/>
                <w:sz w:val="22"/>
                <w:szCs w:val="22"/>
              </w:rPr>
            </w:pPr>
            <w:proofErr w:type="spellStart"/>
            <w:r w:rsidRPr="00821062">
              <w:rPr>
                <w:rFonts w:asciiTheme="minorHAnsi" w:eastAsia="Times New Roman" w:hAnsiTheme="minorHAnsi" w:cstheme="minorHAnsi"/>
                <w:sz w:val="22"/>
                <w:szCs w:val="22"/>
                <w:lang w:eastAsia="en-GB"/>
              </w:rPr>
              <w:t>Morcillo</w:t>
            </w:r>
            <w:proofErr w:type="spellEnd"/>
            <w:r w:rsidRPr="00821062">
              <w:rPr>
                <w:rFonts w:asciiTheme="minorHAnsi" w:eastAsia="Times New Roman" w:hAnsiTheme="minorHAnsi" w:cstheme="minorHAnsi"/>
                <w:sz w:val="22"/>
                <w:szCs w:val="22"/>
                <w:lang w:eastAsia="en-GB"/>
              </w:rPr>
              <w:t xml:space="preserve"> C. </w:t>
            </w:r>
            <w:proofErr w:type="spellStart"/>
            <w:r w:rsidRPr="00821062">
              <w:rPr>
                <w:rFonts w:asciiTheme="minorHAnsi" w:eastAsia="Times New Roman" w:hAnsiTheme="minorHAnsi" w:cstheme="minorHAnsi"/>
                <w:sz w:val="22"/>
                <w:szCs w:val="22"/>
                <w:lang w:eastAsia="en-GB"/>
              </w:rPr>
              <w:t>Marzal</w:t>
            </w:r>
            <w:proofErr w:type="spellEnd"/>
            <w:r w:rsidRPr="00821062">
              <w:rPr>
                <w:rFonts w:asciiTheme="minorHAnsi" w:eastAsia="Times New Roman" w:hAnsiTheme="minorHAnsi" w:cstheme="minorHAnsi"/>
                <w:sz w:val="22"/>
                <w:szCs w:val="22"/>
                <w:lang w:eastAsia="en-GB"/>
              </w:rPr>
              <w:t xml:space="preserve"> D, Velazquez J, Tomas JF. </w:t>
            </w:r>
            <w:r w:rsidRPr="00827089">
              <w:rPr>
                <w:rFonts w:asciiTheme="minorHAnsi" w:eastAsia="Times New Roman" w:hAnsiTheme="minorHAnsi" w:cstheme="minorHAnsi"/>
                <w:sz w:val="22"/>
                <w:szCs w:val="22"/>
                <w:lang w:eastAsia="en-GB"/>
              </w:rPr>
              <w:t>Remote Monitoring of Patients with COVID-19 after Hospital Discharge with Connected Health Platform: Outcomes and Quality of Life</w:t>
            </w:r>
            <w:r w:rsidRPr="00821062">
              <w:rPr>
                <w:rFonts w:asciiTheme="minorHAnsi" w:eastAsia="Times New Roman" w:hAnsiTheme="minorHAnsi" w:cstheme="minorHAnsi"/>
                <w:sz w:val="22"/>
                <w:szCs w:val="22"/>
                <w:lang w:eastAsia="en-GB"/>
              </w:rPr>
              <w:t xml:space="preserve">. </w:t>
            </w:r>
          </w:p>
          <w:p w14:paraId="4234FC06" w14:textId="77777777" w:rsidR="00FE1C11" w:rsidRPr="00821062" w:rsidRDefault="00FE1C11" w:rsidP="00AA1ABE">
            <w:pPr>
              <w:pStyle w:val="Default"/>
              <w:rPr>
                <w:rFonts w:asciiTheme="minorHAnsi" w:hAnsiTheme="minorHAnsi" w:cstheme="minorHAnsi"/>
                <w:sz w:val="22"/>
                <w:szCs w:val="22"/>
              </w:rPr>
            </w:pPr>
            <w:r w:rsidRPr="00821062">
              <w:rPr>
                <w:rFonts w:asciiTheme="minorHAnsi" w:hAnsiTheme="minorHAnsi" w:cstheme="minorHAnsi"/>
                <w:sz w:val="22"/>
                <w:szCs w:val="22"/>
              </w:rPr>
              <w:t xml:space="preserve"> JOURNAL OF INTEGRATIVE CARDIOLOGY OPEN ACCESS. </w:t>
            </w:r>
            <w:hyperlink r:id="rId10" w:history="1">
              <w:r w:rsidRPr="00821062">
                <w:rPr>
                  <w:rStyle w:val="Hyperlink"/>
                  <w:rFonts w:asciiTheme="minorHAnsi" w:hAnsiTheme="minorHAnsi"/>
                  <w:sz w:val="22"/>
                  <w:szCs w:val="22"/>
                </w:rPr>
                <w:t>http://dx.doi.org/10.31487/j.JICOA.2020.05.05</w:t>
              </w:r>
            </w:hyperlink>
            <w:r w:rsidRPr="00821062">
              <w:rPr>
                <w:rFonts w:asciiTheme="minorHAnsi" w:hAnsiTheme="minorHAnsi" w:cstheme="minorHAnsi"/>
                <w:sz w:val="22"/>
                <w:szCs w:val="22"/>
              </w:rPr>
              <w:t xml:space="preserve"> </w:t>
            </w:r>
          </w:p>
          <w:p w14:paraId="05B54E6C" w14:textId="77777777" w:rsidR="00FE1C11" w:rsidRPr="00821062" w:rsidRDefault="00FE1C11" w:rsidP="00AA1ABE">
            <w:pPr>
              <w:rPr>
                <w:rFonts w:cstheme="minorHAnsi"/>
              </w:rPr>
            </w:pPr>
          </w:p>
        </w:tc>
        <w:tc>
          <w:tcPr>
            <w:tcW w:w="1101" w:type="dxa"/>
          </w:tcPr>
          <w:p w14:paraId="178E295A" w14:textId="77777777" w:rsidR="00FE1C11" w:rsidRPr="00007D3B" w:rsidRDefault="00FE1C11" w:rsidP="00AA1ABE">
            <w:pPr>
              <w:rPr>
                <w:rFonts w:cstheme="minorHAnsi"/>
                <w:sz w:val="20"/>
                <w:szCs w:val="20"/>
              </w:rPr>
            </w:pPr>
            <w:r>
              <w:rPr>
                <w:rFonts w:cstheme="minorHAnsi"/>
                <w:sz w:val="20"/>
                <w:szCs w:val="20"/>
              </w:rPr>
              <w:t>Spain</w:t>
            </w:r>
          </w:p>
        </w:tc>
        <w:tc>
          <w:tcPr>
            <w:tcW w:w="1057" w:type="dxa"/>
          </w:tcPr>
          <w:p w14:paraId="43D52A4D" w14:textId="77777777" w:rsidR="00FE1C11" w:rsidRPr="00007D3B" w:rsidRDefault="00FE1C11" w:rsidP="00AA1ABE">
            <w:pPr>
              <w:rPr>
                <w:rFonts w:cstheme="minorHAnsi"/>
                <w:sz w:val="20"/>
                <w:szCs w:val="20"/>
              </w:rPr>
            </w:pPr>
            <w:r>
              <w:rPr>
                <w:rFonts w:cstheme="minorHAnsi"/>
                <w:sz w:val="20"/>
                <w:szCs w:val="20"/>
              </w:rPr>
              <w:t>95</w:t>
            </w:r>
          </w:p>
        </w:tc>
        <w:tc>
          <w:tcPr>
            <w:tcW w:w="1393" w:type="dxa"/>
          </w:tcPr>
          <w:p w14:paraId="63C4A62F" w14:textId="77777777" w:rsidR="00FE1C11" w:rsidRDefault="00FE1C11" w:rsidP="00AA1ABE">
            <w:pPr>
              <w:rPr>
                <w:rFonts w:cstheme="minorHAnsi"/>
                <w:sz w:val="20"/>
                <w:szCs w:val="20"/>
              </w:rPr>
            </w:pPr>
            <w:r>
              <w:rPr>
                <w:rFonts w:cstheme="minorHAnsi"/>
                <w:sz w:val="20"/>
                <w:szCs w:val="20"/>
              </w:rPr>
              <w:t>SaO2</w:t>
            </w:r>
          </w:p>
          <w:p w14:paraId="0A284D97" w14:textId="77777777" w:rsidR="00FE1C11" w:rsidRDefault="00FE1C11" w:rsidP="00AA1ABE">
            <w:pPr>
              <w:rPr>
                <w:rFonts w:cstheme="minorHAnsi"/>
                <w:sz w:val="20"/>
                <w:szCs w:val="20"/>
              </w:rPr>
            </w:pPr>
            <w:r>
              <w:rPr>
                <w:rFonts w:cstheme="minorHAnsi"/>
                <w:sz w:val="20"/>
                <w:szCs w:val="20"/>
              </w:rPr>
              <w:t>Pulse rate</w:t>
            </w:r>
          </w:p>
          <w:p w14:paraId="47355EA4" w14:textId="77777777" w:rsidR="00FE1C11" w:rsidRDefault="00FE1C11" w:rsidP="00AA1ABE">
            <w:pPr>
              <w:rPr>
                <w:rFonts w:cstheme="minorHAnsi"/>
                <w:sz w:val="20"/>
                <w:szCs w:val="20"/>
              </w:rPr>
            </w:pPr>
          </w:p>
          <w:p w14:paraId="657C89AD" w14:textId="77777777" w:rsidR="00FE1C11" w:rsidRDefault="00FE1C11" w:rsidP="00AA1ABE">
            <w:pPr>
              <w:rPr>
                <w:rFonts w:cstheme="minorHAnsi"/>
                <w:sz w:val="20"/>
                <w:szCs w:val="20"/>
              </w:rPr>
            </w:pPr>
            <w:r>
              <w:rPr>
                <w:rFonts w:cstheme="minorHAnsi"/>
                <w:sz w:val="20"/>
                <w:szCs w:val="20"/>
              </w:rPr>
              <w:t>Symptoms</w:t>
            </w:r>
          </w:p>
          <w:p w14:paraId="75BA925A" w14:textId="77777777" w:rsidR="00FE1C11" w:rsidRDefault="00FE1C11" w:rsidP="00AA1ABE">
            <w:pPr>
              <w:rPr>
                <w:rFonts w:cstheme="minorHAnsi"/>
                <w:sz w:val="20"/>
                <w:szCs w:val="20"/>
              </w:rPr>
            </w:pPr>
          </w:p>
          <w:p w14:paraId="118D851A" w14:textId="77777777" w:rsidR="00FE1C11" w:rsidRDefault="00FE1C11" w:rsidP="00AA1ABE">
            <w:pPr>
              <w:rPr>
                <w:rFonts w:cstheme="minorHAnsi"/>
                <w:sz w:val="20"/>
                <w:szCs w:val="20"/>
              </w:rPr>
            </w:pPr>
            <w:r>
              <w:rPr>
                <w:rFonts w:cstheme="minorHAnsi"/>
                <w:sz w:val="20"/>
                <w:szCs w:val="20"/>
              </w:rPr>
              <w:t>QOL</w:t>
            </w:r>
          </w:p>
          <w:p w14:paraId="7D37FA67" w14:textId="77777777" w:rsidR="00FE1C11" w:rsidRDefault="00FE1C11" w:rsidP="00AA1ABE">
            <w:pPr>
              <w:rPr>
                <w:rFonts w:cstheme="minorHAnsi"/>
                <w:sz w:val="20"/>
                <w:szCs w:val="20"/>
              </w:rPr>
            </w:pPr>
          </w:p>
          <w:p w14:paraId="678E37F4" w14:textId="77777777" w:rsidR="00FE1C11" w:rsidRPr="00007D3B" w:rsidRDefault="00FE1C11" w:rsidP="00AA1ABE">
            <w:pPr>
              <w:rPr>
                <w:rFonts w:cstheme="minorHAnsi"/>
                <w:sz w:val="20"/>
                <w:szCs w:val="20"/>
              </w:rPr>
            </w:pPr>
            <w:r>
              <w:rPr>
                <w:rFonts w:cstheme="minorHAnsi"/>
                <w:sz w:val="20"/>
                <w:szCs w:val="20"/>
              </w:rPr>
              <w:t>App</w:t>
            </w:r>
          </w:p>
        </w:tc>
        <w:tc>
          <w:tcPr>
            <w:tcW w:w="1031" w:type="dxa"/>
          </w:tcPr>
          <w:p w14:paraId="56057344" w14:textId="77777777" w:rsidR="00FE1C11" w:rsidRPr="00007D3B" w:rsidRDefault="00FE1C11" w:rsidP="00AA1ABE">
            <w:pPr>
              <w:rPr>
                <w:rFonts w:cstheme="minorHAnsi"/>
                <w:sz w:val="20"/>
                <w:szCs w:val="20"/>
              </w:rPr>
            </w:pPr>
            <w:r>
              <w:rPr>
                <w:rFonts w:cstheme="minorHAnsi"/>
                <w:sz w:val="20"/>
                <w:szCs w:val="20"/>
              </w:rPr>
              <w:t xml:space="preserve">11 for &lt;90%. 5 for HR &gt; 120 bpm, 80 for pain. </w:t>
            </w:r>
          </w:p>
        </w:tc>
        <w:tc>
          <w:tcPr>
            <w:tcW w:w="808" w:type="dxa"/>
          </w:tcPr>
          <w:p w14:paraId="2A23D990" w14:textId="77777777" w:rsidR="00FE1C11" w:rsidRPr="00007D3B" w:rsidRDefault="00FE1C11" w:rsidP="00AA1ABE">
            <w:pPr>
              <w:rPr>
                <w:rFonts w:cstheme="minorHAnsi"/>
                <w:sz w:val="20"/>
                <w:szCs w:val="20"/>
              </w:rPr>
            </w:pPr>
          </w:p>
        </w:tc>
        <w:tc>
          <w:tcPr>
            <w:tcW w:w="1011" w:type="dxa"/>
          </w:tcPr>
          <w:p w14:paraId="3C5E2555" w14:textId="77777777" w:rsidR="00FE1C11" w:rsidRPr="00007D3B" w:rsidRDefault="00FE1C11" w:rsidP="00AA1ABE">
            <w:pPr>
              <w:rPr>
                <w:rFonts w:cstheme="minorHAnsi"/>
                <w:sz w:val="20"/>
                <w:szCs w:val="20"/>
              </w:rPr>
            </w:pPr>
            <w:r>
              <w:rPr>
                <w:rFonts w:cstheme="minorHAnsi"/>
                <w:sz w:val="20"/>
                <w:szCs w:val="20"/>
              </w:rPr>
              <w:t>0</w:t>
            </w:r>
          </w:p>
        </w:tc>
        <w:tc>
          <w:tcPr>
            <w:tcW w:w="1011" w:type="dxa"/>
          </w:tcPr>
          <w:p w14:paraId="02CAF451" w14:textId="77777777" w:rsidR="00FE1C11" w:rsidRPr="00007D3B" w:rsidRDefault="00FE1C11" w:rsidP="00AA1ABE">
            <w:pPr>
              <w:rPr>
                <w:rFonts w:cstheme="minorHAnsi"/>
                <w:sz w:val="20"/>
                <w:szCs w:val="20"/>
              </w:rPr>
            </w:pPr>
            <w:r>
              <w:rPr>
                <w:rFonts w:cstheme="minorHAnsi"/>
                <w:sz w:val="20"/>
                <w:szCs w:val="20"/>
              </w:rPr>
              <w:t>0</w:t>
            </w:r>
          </w:p>
        </w:tc>
        <w:tc>
          <w:tcPr>
            <w:tcW w:w="804" w:type="dxa"/>
          </w:tcPr>
          <w:p w14:paraId="3F0B7103" w14:textId="77777777" w:rsidR="00FE1C11" w:rsidRPr="00007D3B" w:rsidRDefault="00FE1C11" w:rsidP="00AA1ABE">
            <w:pPr>
              <w:rPr>
                <w:rFonts w:cstheme="minorHAnsi"/>
                <w:sz w:val="20"/>
                <w:szCs w:val="20"/>
              </w:rPr>
            </w:pPr>
            <w:r>
              <w:rPr>
                <w:rFonts w:cstheme="minorHAnsi"/>
                <w:sz w:val="20"/>
                <w:szCs w:val="20"/>
              </w:rPr>
              <w:t>54</w:t>
            </w:r>
          </w:p>
        </w:tc>
        <w:tc>
          <w:tcPr>
            <w:tcW w:w="811" w:type="dxa"/>
          </w:tcPr>
          <w:p w14:paraId="34FB52AA" w14:textId="77777777" w:rsidR="00FE1C11" w:rsidRPr="00007D3B" w:rsidRDefault="00FE1C11" w:rsidP="00AA1ABE">
            <w:pPr>
              <w:rPr>
                <w:rFonts w:cstheme="minorHAnsi"/>
                <w:sz w:val="20"/>
                <w:szCs w:val="20"/>
              </w:rPr>
            </w:pPr>
            <w:r>
              <w:rPr>
                <w:rFonts w:cstheme="minorHAnsi"/>
                <w:sz w:val="20"/>
                <w:szCs w:val="20"/>
              </w:rPr>
              <w:t>&lt;90% pulse &gt;120</w:t>
            </w:r>
          </w:p>
        </w:tc>
        <w:tc>
          <w:tcPr>
            <w:tcW w:w="988" w:type="dxa"/>
          </w:tcPr>
          <w:p w14:paraId="289F14AF" w14:textId="77777777" w:rsidR="00FE1C11" w:rsidRPr="00007D3B" w:rsidRDefault="00FE1C11" w:rsidP="00AA1ABE">
            <w:pPr>
              <w:rPr>
                <w:rFonts w:cstheme="minorHAnsi"/>
                <w:sz w:val="20"/>
                <w:szCs w:val="20"/>
              </w:rPr>
            </w:pPr>
          </w:p>
        </w:tc>
      </w:tr>
      <w:tr w:rsidR="00FE1C11" w:rsidRPr="00007D3B" w14:paraId="2A5B1A4C" w14:textId="77777777" w:rsidTr="00AA1ABE">
        <w:tc>
          <w:tcPr>
            <w:tcW w:w="3933" w:type="dxa"/>
          </w:tcPr>
          <w:p w14:paraId="03088605" w14:textId="77777777" w:rsidR="00FE1C11" w:rsidRPr="00CD40E6" w:rsidRDefault="00FE1C11" w:rsidP="00AA1ABE">
            <w:pPr>
              <w:shd w:val="clear" w:color="auto" w:fill="FFFFFF"/>
              <w:rPr>
                <w:rFonts w:ascii="Segoe UI" w:eastAsia="Times New Roman" w:hAnsi="Segoe UI" w:cs="Segoe UI"/>
                <w:color w:val="212121"/>
                <w:sz w:val="20"/>
                <w:szCs w:val="20"/>
                <w:lang w:eastAsia="en-GB"/>
              </w:rPr>
            </w:pPr>
            <w:r w:rsidRPr="00CD40E6">
              <w:rPr>
                <w:rFonts w:ascii="Segoe UI" w:eastAsia="Times New Roman" w:hAnsi="Segoe UI" w:cs="Segoe UI"/>
                <w:color w:val="212121"/>
                <w:sz w:val="20"/>
                <w:szCs w:val="20"/>
                <w:lang w:eastAsia="en-GB"/>
              </w:rPr>
              <w:t xml:space="preserve">Ford D, Harvey JB, </w:t>
            </w:r>
            <w:proofErr w:type="spellStart"/>
            <w:r w:rsidRPr="00CD40E6">
              <w:rPr>
                <w:rFonts w:ascii="Segoe UI" w:eastAsia="Times New Roman" w:hAnsi="Segoe UI" w:cs="Segoe UI"/>
                <w:color w:val="212121"/>
                <w:sz w:val="20"/>
                <w:szCs w:val="20"/>
                <w:lang w:eastAsia="en-GB"/>
              </w:rPr>
              <w:t>McElligott</w:t>
            </w:r>
            <w:proofErr w:type="spellEnd"/>
            <w:r w:rsidRPr="00CD40E6">
              <w:rPr>
                <w:rFonts w:ascii="Segoe UI" w:eastAsia="Times New Roman" w:hAnsi="Segoe UI" w:cs="Segoe UI"/>
                <w:color w:val="212121"/>
                <w:sz w:val="20"/>
                <w:szCs w:val="20"/>
                <w:lang w:eastAsia="en-GB"/>
              </w:rPr>
              <w:t xml:space="preserve"> J, King K, Simpson KN, </w:t>
            </w:r>
            <w:proofErr w:type="spellStart"/>
            <w:r w:rsidRPr="00CD40E6">
              <w:rPr>
                <w:rFonts w:ascii="Segoe UI" w:eastAsia="Times New Roman" w:hAnsi="Segoe UI" w:cs="Segoe UI"/>
                <w:color w:val="212121"/>
                <w:sz w:val="20"/>
                <w:szCs w:val="20"/>
                <w:lang w:eastAsia="en-GB"/>
              </w:rPr>
              <w:t>Valenta</w:t>
            </w:r>
            <w:proofErr w:type="spellEnd"/>
            <w:r w:rsidRPr="00CD40E6">
              <w:rPr>
                <w:rFonts w:ascii="Segoe UI" w:eastAsia="Times New Roman" w:hAnsi="Segoe UI" w:cs="Segoe UI"/>
                <w:color w:val="212121"/>
                <w:sz w:val="20"/>
                <w:szCs w:val="20"/>
                <w:lang w:eastAsia="en-GB"/>
              </w:rPr>
              <w:t xml:space="preserve"> S, Warr EH, Walsh T, Debenham E, Teasdale C, </w:t>
            </w:r>
            <w:proofErr w:type="spellStart"/>
            <w:r w:rsidRPr="00CD40E6">
              <w:rPr>
                <w:rFonts w:ascii="Segoe UI" w:eastAsia="Times New Roman" w:hAnsi="Segoe UI" w:cs="Segoe UI"/>
                <w:color w:val="212121"/>
                <w:sz w:val="20"/>
                <w:szCs w:val="20"/>
                <w:lang w:eastAsia="en-GB"/>
              </w:rPr>
              <w:t>Meystre</w:t>
            </w:r>
            <w:proofErr w:type="spellEnd"/>
            <w:r w:rsidRPr="00CD40E6">
              <w:rPr>
                <w:rFonts w:ascii="Segoe UI" w:eastAsia="Times New Roman" w:hAnsi="Segoe UI" w:cs="Segoe UI"/>
                <w:color w:val="212121"/>
                <w:sz w:val="20"/>
                <w:szCs w:val="20"/>
                <w:lang w:eastAsia="en-GB"/>
              </w:rPr>
              <w:t xml:space="preserve"> S, Obeid JS, </w:t>
            </w:r>
            <w:proofErr w:type="spellStart"/>
            <w:r w:rsidRPr="00CD40E6">
              <w:rPr>
                <w:rFonts w:ascii="Segoe UI" w:eastAsia="Times New Roman" w:hAnsi="Segoe UI" w:cs="Segoe UI"/>
                <w:color w:val="212121"/>
                <w:sz w:val="20"/>
                <w:szCs w:val="20"/>
                <w:lang w:eastAsia="en-GB"/>
              </w:rPr>
              <w:t>Metts</w:t>
            </w:r>
            <w:proofErr w:type="spellEnd"/>
            <w:r w:rsidRPr="00CD40E6">
              <w:rPr>
                <w:rFonts w:ascii="Segoe UI" w:eastAsia="Times New Roman" w:hAnsi="Segoe UI" w:cs="Segoe UI"/>
                <w:color w:val="212121"/>
                <w:sz w:val="20"/>
                <w:szCs w:val="20"/>
                <w:lang w:eastAsia="en-GB"/>
              </w:rPr>
              <w:t xml:space="preserve"> C, </w:t>
            </w:r>
            <w:proofErr w:type="spellStart"/>
            <w:r w:rsidRPr="00CD40E6">
              <w:rPr>
                <w:rFonts w:ascii="Segoe UI" w:eastAsia="Times New Roman" w:hAnsi="Segoe UI" w:cs="Segoe UI"/>
                <w:color w:val="212121"/>
                <w:sz w:val="20"/>
                <w:szCs w:val="20"/>
                <w:lang w:eastAsia="en-GB"/>
              </w:rPr>
              <w:t>Lenert</w:t>
            </w:r>
            <w:proofErr w:type="spellEnd"/>
            <w:r w:rsidRPr="00CD40E6">
              <w:rPr>
                <w:rFonts w:ascii="Segoe UI" w:eastAsia="Times New Roman" w:hAnsi="Segoe UI" w:cs="Segoe UI"/>
                <w:color w:val="212121"/>
                <w:sz w:val="20"/>
                <w:szCs w:val="20"/>
                <w:lang w:eastAsia="en-GB"/>
              </w:rPr>
              <w:t xml:space="preserve"> LA. Leveraging health system telehealth and informatics infrastructure to create a continuum of services for COVID-19 screening, testing, and treatment. J Am Med Inform Assoc. 2020 Dec 9;27(12):1871-1877. </w:t>
            </w:r>
            <w:proofErr w:type="spellStart"/>
            <w:r w:rsidRPr="00CD40E6">
              <w:rPr>
                <w:rFonts w:ascii="Segoe UI" w:eastAsia="Times New Roman" w:hAnsi="Segoe UI" w:cs="Segoe UI"/>
                <w:color w:val="212121"/>
                <w:sz w:val="20"/>
                <w:szCs w:val="20"/>
                <w:lang w:eastAsia="en-GB"/>
              </w:rPr>
              <w:t>doi</w:t>
            </w:r>
            <w:proofErr w:type="spellEnd"/>
            <w:r w:rsidRPr="00CD40E6">
              <w:rPr>
                <w:rFonts w:ascii="Segoe UI" w:eastAsia="Times New Roman" w:hAnsi="Segoe UI" w:cs="Segoe UI"/>
                <w:color w:val="212121"/>
                <w:sz w:val="20"/>
                <w:szCs w:val="20"/>
                <w:lang w:eastAsia="en-GB"/>
              </w:rPr>
              <w:t>: 10.1093/</w:t>
            </w:r>
            <w:proofErr w:type="spellStart"/>
            <w:r w:rsidRPr="00CD40E6">
              <w:rPr>
                <w:rFonts w:ascii="Segoe UI" w:eastAsia="Times New Roman" w:hAnsi="Segoe UI" w:cs="Segoe UI"/>
                <w:color w:val="212121"/>
                <w:sz w:val="20"/>
                <w:szCs w:val="20"/>
                <w:lang w:eastAsia="en-GB"/>
              </w:rPr>
              <w:t>jamia</w:t>
            </w:r>
            <w:proofErr w:type="spellEnd"/>
            <w:r w:rsidRPr="00CD40E6">
              <w:rPr>
                <w:rFonts w:ascii="Segoe UI" w:eastAsia="Times New Roman" w:hAnsi="Segoe UI" w:cs="Segoe UI"/>
                <w:color w:val="212121"/>
                <w:sz w:val="20"/>
                <w:szCs w:val="20"/>
                <w:lang w:eastAsia="en-GB"/>
              </w:rPr>
              <w:t>/ocaa157. PMID: 32602884; PMCID: PMC7337763.</w:t>
            </w:r>
          </w:p>
          <w:p w14:paraId="790A0F9B" w14:textId="77777777" w:rsidR="00FE1C11" w:rsidRPr="00CD40E6" w:rsidRDefault="00FE1C11" w:rsidP="00AA1ABE">
            <w:pPr>
              <w:shd w:val="clear" w:color="auto" w:fill="FFFFFF"/>
              <w:rPr>
                <w:rFonts w:ascii="Segoe UI" w:eastAsia="Times New Roman" w:hAnsi="Segoe UI" w:cs="Segoe UI"/>
                <w:color w:val="212121"/>
                <w:sz w:val="20"/>
                <w:szCs w:val="20"/>
                <w:lang w:eastAsia="en-GB"/>
              </w:rPr>
            </w:pPr>
            <w:r w:rsidRPr="00CD40E6">
              <w:rPr>
                <w:rFonts w:ascii="Segoe UI" w:eastAsia="Times New Roman" w:hAnsi="Segoe UI" w:cs="Segoe UI"/>
                <w:color w:val="212121"/>
                <w:sz w:val="20"/>
                <w:szCs w:val="20"/>
                <w:lang w:eastAsia="en-GB"/>
              </w:rPr>
              <w:t xml:space="preserve"> MAINLY </w:t>
            </w:r>
            <w:proofErr w:type="gramStart"/>
            <w:r w:rsidRPr="00CD40E6">
              <w:rPr>
                <w:rFonts w:ascii="Segoe UI" w:eastAsia="Times New Roman" w:hAnsi="Segoe UI" w:cs="Segoe UI"/>
                <w:color w:val="212121"/>
                <w:sz w:val="20"/>
                <w:szCs w:val="20"/>
                <w:lang w:eastAsia="en-GB"/>
              </w:rPr>
              <w:t>PRE ADMISSION</w:t>
            </w:r>
            <w:proofErr w:type="gramEnd"/>
          </w:p>
          <w:p w14:paraId="1205AA72" w14:textId="77777777" w:rsidR="00FE1C11" w:rsidRPr="00007D3B" w:rsidRDefault="00FE1C11" w:rsidP="00AA1ABE">
            <w:pPr>
              <w:rPr>
                <w:rFonts w:cstheme="minorHAnsi"/>
                <w:sz w:val="20"/>
                <w:szCs w:val="20"/>
              </w:rPr>
            </w:pPr>
          </w:p>
        </w:tc>
        <w:tc>
          <w:tcPr>
            <w:tcW w:w="1101" w:type="dxa"/>
          </w:tcPr>
          <w:p w14:paraId="7E6888A3" w14:textId="77777777" w:rsidR="00FE1C11" w:rsidRPr="00007D3B" w:rsidRDefault="00FE1C11" w:rsidP="00AA1ABE">
            <w:pPr>
              <w:rPr>
                <w:rFonts w:cstheme="minorHAnsi"/>
                <w:sz w:val="20"/>
                <w:szCs w:val="20"/>
              </w:rPr>
            </w:pPr>
            <w:r>
              <w:rPr>
                <w:rFonts w:cstheme="minorHAnsi"/>
                <w:sz w:val="20"/>
                <w:szCs w:val="20"/>
              </w:rPr>
              <w:t>USA</w:t>
            </w:r>
          </w:p>
        </w:tc>
        <w:tc>
          <w:tcPr>
            <w:tcW w:w="1057" w:type="dxa"/>
          </w:tcPr>
          <w:p w14:paraId="0B4EE262" w14:textId="77777777" w:rsidR="00FE1C11" w:rsidRDefault="00FE1C11" w:rsidP="00AA1ABE">
            <w:pPr>
              <w:rPr>
                <w:rFonts w:cstheme="minorHAnsi"/>
                <w:sz w:val="20"/>
                <w:szCs w:val="20"/>
              </w:rPr>
            </w:pPr>
            <w:r>
              <w:rPr>
                <w:rFonts w:cstheme="minorHAnsi"/>
                <w:sz w:val="20"/>
                <w:szCs w:val="20"/>
              </w:rPr>
              <w:t>154</w:t>
            </w:r>
          </w:p>
          <w:p w14:paraId="6C4F852B" w14:textId="77777777" w:rsidR="00FE1C11" w:rsidRPr="00007D3B" w:rsidRDefault="00FE1C11" w:rsidP="00AA1ABE">
            <w:pPr>
              <w:rPr>
                <w:rFonts w:cstheme="minorHAnsi"/>
                <w:sz w:val="20"/>
                <w:szCs w:val="20"/>
              </w:rPr>
            </w:pPr>
            <w:r>
              <w:rPr>
                <w:rFonts w:cstheme="minorHAnsi"/>
                <w:sz w:val="20"/>
                <w:szCs w:val="20"/>
              </w:rPr>
              <w:t>(10% at high risk of complications)</w:t>
            </w:r>
          </w:p>
        </w:tc>
        <w:tc>
          <w:tcPr>
            <w:tcW w:w="1393" w:type="dxa"/>
          </w:tcPr>
          <w:p w14:paraId="41B4ABF8" w14:textId="77777777" w:rsidR="00FE1C11" w:rsidRDefault="00FE1C11" w:rsidP="00AA1ABE">
            <w:pPr>
              <w:rPr>
                <w:rFonts w:cstheme="minorHAnsi"/>
                <w:sz w:val="20"/>
                <w:szCs w:val="20"/>
              </w:rPr>
            </w:pPr>
            <w:r>
              <w:rPr>
                <w:rFonts w:cstheme="minorHAnsi"/>
                <w:sz w:val="20"/>
                <w:szCs w:val="20"/>
              </w:rPr>
              <w:t>SaO2</w:t>
            </w:r>
          </w:p>
          <w:p w14:paraId="4B3631EB" w14:textId="77777777" w:rsidR="00FE1C11" w:rsidRDefault="00FE1C11" w:rsidP="00AA1ABE">
            <w:pPr>
              <w:rPr>
                <w:rFonts w:cstheme="minorHAnsi"/>
                <w:sz w:val="20"/>
                <w:szCs w:val="20"/>
              </w:rPr>
            </w:pPr>
          </w:p>
          <w:p w14:paraId="7925E2A1" w14:textId="77777777" w:rsidR="00FE1C11" w:rsidRDefault="00FE1C11" w:rsidP="00AA1ABE">
            <w:pPr>
              <w:rPr>
                <w:rFonts w:cstheme="minorHAnsi"/>
                <w:sz w:val="20"/>
                <w:szCs w:val="20"/>
              </w:rPr>
            </w:pPr>
            <w:r>
              <w:rPr>
                <w:rFonts w:cstheme="minorHAnsi"/>
                <w:sz w:val="20"/>
                <w:szCs w:val="20"/>
              </w:rPr>
              <w:t>Temperature</w:t>
            </w:r>
          </w:p>
          <w:p w14:paraId="3D7427A9" w14:textId="77777777" w:rsidR="00FE1C11" w:rsidRDefault="00FE1C11" w:rsidP="00AA1ABE">
            <w:pPr>
              <w:rPr>
                <w:rFonts w:cstheme="minorHAnsi"/>
                <w:sz w:val="20"/>
                <w:szCs w:val="20"/>
              </w:rPr>
            </w:pPr>
          </w:p>
          <w:p w14:paraId="2C224AE6" w14:textId="77777777" w:rsidR="00FE1C11" w:rsidRPr="00007D3B" w:rsidRDefault="00FE1C11" w:rsidP="00AA1ABE">
            <w:pPr>
              <w:rPr>
                <w:rFonts w:cstheme="minorHAnsi"/>
                <w:sz w:val="20"/>
                <w:szCs w:val="20"/>
              </w:rPr>
            </w:pPr>
            <w:r>
              <w:rPr>
                <w:rFonts w:cstheme="minorHAnsi"/>
                <w:sz w:val="20"/>
                <w:szCs w:val="20"/>
              </w:rPr>
              <w:t>App</w:t>
            </w:r>
          </w:p>
        </w:tc>
        <w:tc>
          <w:tcPr>
            <w:tcW w:w="1031" w:type="dxa"/>
          </w:tcPr>
          <w:p w14:paraId="3AA01E7D" w14:textId="77777777" w:rsidR="00FE1C11" w:rsidRPr="00007D3B" w:rsidRDefault="00FE1C11" w:rsidP="00AA1ABE">
            <w:pPr>
              <w:rPr>
                <w:rFonts w:cstheme="minorHAnsi"/>
                <w:sz w:val="20"/>
                <w:szCs w:val="20"/>
              </w:rPr>
            </w:pPr>
            <w:r>
              <w:rPr>
                <w:rFonts w:cstheme="minorHAnsi"/>
                <w:sz w:val="20"/>
                <w:szCs w:val="20"/>
              </w:rPr>
              <w:t>709 ‘encounters’</w:t>
            </w:r>
          </w:p>
        </w:tc>
        <w:tc>
          <w:tcPr>
            <w:tcW w:w="808" w:type="dxa"/>
          </w:tcPr>
          <w:p w14:paraId="2BBE7F72" w14:textId="77777777" w:rsidR="00FE1C11" w:rsidRPr="00007D3B" w:rsidRDefault="00FE1C11" w:rsidP="00AA1ABE">
            <w:pPr>
              <w:rPr>
                <w:rFonts w:cstheme="minorHAnsi"/>
                <w:sz w:val="20"/>
                <w:szCs w:val="20"/>
              </w:rPr>
            </w:pPr>
            <w:r>
              <w:rPr>
                <w:rFonts w:cstheme="minorHAnsi"/>
                <w:sz w:val="20"/>
                <w:szCs w:val="20"/>
              </w:rPr>
              <w:t>22</w:t>
            </w:r>
          </w:p>
        </w:tc>
        <w:tc>
          <w:tcPr>
            <w:tcW w:w="1011" w:type="dxa"/>
          </w:tcPr>
          <w:p w14:paraId="462C10AE" w14:textId="77777777" w:rsidR="00FE1C11" w:rsidRPr="00007D3B" w:rsidRDefault="00FE1C11" w:rsidP="00AA1ABE">
            <w:pPr>
              <w:rPr>
                <w:rFonts w:cstheme="minorHAnsi"/>
                <w:sz w:val="20"/>
                <w:szCs w:val="20"/>
              </w:rPr>
            </w:pPr>
            <w:r>
              <w:rPr>
                <w:rFonts w:cstheme="minorHAnsi"/>
                <w:sz w:val="20"/>
                <w:szCs w:val="20"/>
              </w:rPr>
              <w:t>4</w:t>
            </w:r>
          </w:p>
        </w:tc>
        <w:tc>
          <w:tcPr>
            <w:tcW w:w="1011" w:type="dxa"/>
          </w:tcPr>
          <w:p w14:paraId="2388BC01" w14:textId="77777777" w:rsidR="00FE1C11" w:rsidRPr="00007D3B" w:rsidRDefault="00FE1C11" w:rsidP="00AA1ABE">
            <w:pPr>
              <w:rPr>
                <w:rFonts w:cstheme="minorHAnsi"/>
                <w:sz w:val="20"/>
                <w:szCs w:val="20"/>
              </w:rPr>
            </w:pPr>
            <w:r>
              <w:rPr>
                <w:rFonts w:cstheme="minorHAnsi"/>
                <w:sz w:val="20"/>
                <w:szCs w:val="20"/>
              </w:rPr>
              <w:t>Not stated</w:t>
            </w:r>
          </w:p>
        </w:tc>
        <w:tc>
          <w:tcPr>
            <w:tcW w:w="804" w:type="dxa"/>
          </w:tcPr>
          <w:p w14:paraId="4FA12F34" w14:textId="77777777" w:rsidR="00FE1C11" w:rsidRPr="00007D3B" w:rsidRDefault="00FE1C11" w:rsidP="00AA1ABE">
            <w:pPr>
              <w:rPr>
                <w:rFonts w:cstheme="minorHAnsi"/>
                <w:sz w:val="20"/>
                <w:szCs w:val="20"/>
              </w:rPr>
            </w:pPr>
            <w:r>
              <w:rPr>
                <w:rFonts w:cstheme="minorHAnsi"/>
                <w:sz w:val="20"/>
                <w:szCs w:val="20"/>
              </w:rPr>
              <w:t>Not stated</w:t>
            </w:r>
          </w:p>
        </w:tc>
        <w:tc>
          <w:tcPr>
            <w:tcW w:w="811" w:type="dxa"/>
          </w:tcPr>
          <w:p w14:paraId="759CCA9C" w14:textId="77777777" w:rsidR="00FE1C11" w:rsidRPr="00007D3B" w:rsidRDefault="00FE1C11" w:rsidP="00AA1ABE">
            <w:pPr>
              <w:rPr>
                <w:rFonts w:cstheme="minorHAnsi"/>
                <w:sz w:val="20"/>
                <w:szCs w:val="20"/>
              </w:rPr>
            </w:pPr>
            <w:r>
              <w:rPr>
                <w:rFonts w:cstheme="minorHAnsi"/>
                <w:sz w:val="20"/>
                <w:szCs w:val="20"/>
              </w:rPr>
              <w:t>Not stated</w:t>
            </w:r>
          </w:p>
        </w:tc>
        <w:tc>
          <w:tcPr>
            <w:tcW w:w="988" w:type="dxa"/>
          </w:tcPr>
          <w:p w14:paraId="1B15B205" w14:textId="77777777" w:rsidR="00FE1C11" w:rsidRPr="00007D3B" w:rsidRDefault="00FE1C11" w:rsidP="00AA1ABE">
            <w:pPr>
              <w:rPr>
                <w:rFonts w:cstheme="minorHAnsi"/>
                <w:sz w:val="20"/>
                <w:szCs w:val="20"/>
              </w:rPr>
            </w:pPr>
            <w:r>
              <w:rPr>
                <w:rFonts w:cstheme="minorHAnsi"/>
                <w:sz w:val="20"/>
                <w:szCs w:val="20"/>
              </w:rPr>
              <w:t>Not stated</w:t>
            </w:r>
          </w:p>
        </w:tc>
      </w:tr>
      <w:tr w:rsidR="00FE1C11" w:rsidRPr="00007D3B" w14:paraId="649E8C0E" w14:textId="77777777" w:rsidTr="00AA1ABE">
        <w:tc>
          <w:tcPr>
            <w:tcW w:w="3933" w:type="dxa"/>
          </w:tcPr>
          <w:p w14:paraId="040C9D18" w14:textId="77777777" w:rsidR="00FE1C11" w:rsidRPr="00007D3B" w:rsidRDefault="00FE1C11" w:rsidP="00AA1ABE">
            <w:pPr>
              <w:rPr>
                <w:rFonts w:cstheme="minorHAnsi"/>
                <w:sz w:val="20"/>
                <w:szCs w:val="20"/>
              </w:rPr>
            </w:pPr>
          </w:p>
        </w:tc>
        <w:tc>
          <w:tcPr>
            <w:tcW w:w="1101" w:type="dxa"/>
          </w:tcPr>
          <w:p w14:paraId="72F36022" w14:textId="77777777" w:rsidR="00FE1C11" w:rsidRPr="00007D3B" w:rsidRDefault="00FE1C11" w:rsidP="00AA1ABE">
            <w:pPr>
              <w:rPr>
                <w:rFonts w:cstheme="minorHAnsi"/>
                <w:sz w:val="20"/>
                <w:szCs w:val="20"/>
              </w:rPr>
            </w:pPr>
          </w:p>
        </w:tc>
        <w:tc>
          <w:tcPr>
            <w:tcW w:w="1057" w:type="dxa"/>
          </w:tcPr>
          <w:p w14:paraId="7DBBDDF3" w14:textId="77777777" w:rsidR="00FE1C11" w:rsidRPr="00007D3B" w:rsidRDefault="00FE1C11" w:rsidP="00AA1ABE">
            <w:pPr>
              <w:rPr>
                <w:rFonts w:cstheme="minorHAnsi"/>
                <w:sz w:val="20"/>
                <w:szCs w:val="20"/>
              </w:rPr>
            </w:pPr>
          </w:p>
        </w:tc>
        <w:tc>
          <w:tcPr>
            <w:tcW w:w="1393" w:type="dxa"/>
          </w:tcPr>
          <w:p w14:paraId="2B3EBF2C" w14:textId="77777777" w:rsidR="00FE1C11" w:rsidRPr="00007D3B" w:rsidRDefault="00FE1C11" w:rsidP="00AA1ABE">
            <w:pPr>
              <w:rPr>
                <w:rFonts w:cstheme="minorHAnsi"/>
                <w:sz w:val="20"/>
                <w:szCs w:val="20"/>
              </w:rPr>
            </w:pPr>
          </w:p>
        </w:tc>
        <w:tc>
          <w:tcPr>
            <w:tcW w:w="1031" w:type="dxa"/>
          </w:tcPr>
          <w:p w14:paraId="2138B342" w14:textId="77777777" w:rsidR="00FE1C11" w:rsidRPr="00007D3B" w:rsidRDefault="00FE1C11" w:rsidP="00AA1ABE">
            <w:pPr>
              <w:rPr>
                <w:rFonts w:cstheme="minorHAnsi"/>
                <w:sz w:val="20"/>
                <w:szCs w:val="20"/>
              </w:rPr>
            </w:pPr>
          </w:p>
        </w:tc>
        <w:tc>
          <w:tcPr>
            <w:tcW w:w="808" w:type="dxa"/>
          </w:tcPr>
          <w:p w14:paraId="1741AE44" w14:textId="77777777" w:rsidR="00FE1C11" w:rsidRPr="00007D3B" w:rsidRDefault="00FE1C11" w:rsidP="00AA1ABE">
            <w:pPr>
              <w:rPr>
                <w:rFonts w:cstheme="minorHAnsi"/>
                <w:sz w:val="20"/>
                <w:szCs w:val="20"/>
              </w:rPr>
            </w:pPr>
          </w:p>
        </w:tc>
        <w:tc>
          <w:tcPr>
            <w:tcW w:w="1011" w:type="dxa"/>
          </w:tcPr>
          <w:p w14:paraId="4DC71E86" w14:textId="77777777" w:rsidR="00FE1C11" w:rsidRPr="00007D3B" w:rsidRDefault="00FE1C11" w:rsidP="00AA1ABE">
            <w:pPr>
              <w:rPr>
                <w:rFonts w:cstheme="minorHAnsi"/>
                <w:sz w:val="20"/>
                <w:szCs w:val="20"/>
              </w:rPr>
            </w:pPr>
          </w:p>
        </w:tc>
        <w:tc>
          <w:tcPr>
            <w:tcW w:w="1011" w:type="dxa"/>
          </w:tcPr>
          <w:p w14:paraId="6AEAE0E1" w14:textId="77777777" w:rsidR="00FE1C11" w:rsidRPr="00007D3B" w:rsidRDefault="00FE1C11" w:rsidP="00AA1ABE">
            <w:pPr>
              <w:rPr>
                <w:rFonts w:cstheme="minorHAnsi"/>
                <w:sz w:val="20"/>
                <w:szCs w:val="20"/>
              </w:rPr>
            </w:pPr>
          </w:p>
        </w:tc>
        <w:tc>
          <w:tcPr>
            <w:tcW w:w="804" w:type="dxa"/>
          </w:tcPr>
          <w:p w14:paraId="4FC20EA6" w14:textId="77777777" w:rsidR="00FE1C11" w:rsidRPr="00007D3B" w:rsidRDefault="00FE1C11" w:rsidP="00AA1ABE">
            <w:pPr>
              <w:rPr>
                <w:rFonts w:cstheme="minorHAnsi"/>
                <w:sz w:val="20"/>
                <w:szCs w:val="20"/>
              </w:rPr>
            </w:pPr>
          </w:p>
        </w:tc>
        <w:tc>
          <w:tcPr>
            <w:tcW w:w="811" w:type="dxa"/>
          </w:tcPr>
          <w:p w14:paraId="62B8DA55" w14:textId="77777777" w:rsidR="00FE1C11" w:rsidRPr="00007D3B" w:rsidRDefault="00FE1C11" w:rsidP="00AA1ABE">
            <w:pPr>
              <w:rPr>
                <w:rFonts w:cstheme="minorHAnsi"/>
                <w:sz w:val="20"/>
                <w:szCs w:val="20"/>
              </w:rPr>
            </w:pPr>
          </w:p>
        </w:tc>
        <w:tc>
          <w:tcPr>
            <w:tcW w:w="988" w:type="dxa"/>
          </w:tcPr>
          <w:p w14:paraId="689CDB86" w14:textId="77777777" w:rsidR="00FE1C11" w:rsidRPr="00007D3B" w:rsidRDefault="00FE1C11" w:rsidP="00AA1ABE">
            <w:pPr>
              <w:rPr>
                <w:rFonts w:cstheme="minorHAnsi"/>
                <w:sz w:val="20"/>
                <w:szCs w:val="20"/>
              </w:rPr>
            </w:pPr>
          </w:p>
        </w:tc>
      </w:tr>
    </w:tbl>
    <w:p w14:paraId="316FCFE6" w14:textId="77777777" w:rsidR="00FE1C11" w:rsidRDefault="00FE1C11" w:rsidP="00FE1C11">
      <w:pPr>
        <w:rPr>
          <w:rFonts w:cstheme="minorHAnsi"/>
          <w:sz w:val="20"/>
          <w:szCs w:val="20"/>
        </w:rPr>
      </w:pPr>
    </w:p>
    <w:p w14:paraId="29878A17" w14:textId="77777777" w:rsidR="00FE1C11" w:rsidRDefault="00FE1C11" w:rsidP="00FE1C11">
      <w:pPr>
        <w:rPr>
          <w:rFonts w:cstheme="minorHAnsi"/>
          <w:sz w:val="20"/>
          <w:szCs w:val="20"/>
        </w:rPr>
      </w:pPr>
    </w:p>
    <w:p w14:paraId="4FC95E89" w14:textId="77777777" w:rsidR="00FE1C11" w:rsidRPr="00007D3B" w:rsidRDefault="00FE1C11" w:rsidP="00FE1C11">
      <w:pPr>
        <w:rPr>
          <w:rFonts w:cstheme="minorHAnsi"/>
          <w:sz w:val="20"/>
          <w:szCs w:val="20"/>
        </w:rPr>
      </w:pPr>
    </w:p>
    <w:p w14:paraId="7B3C80DD" w14:textId="77777777" w:rsidR="00FE1C11" w:rsidRDefault="00FE1C11" w:rsidP="00FE1C11">
      <w:pPr>
        <w:rPr>
          <w:rFonts w:cstheme="minorHAnsi"/>
        </w:rPr>
      </w:pPr>
      <w:r>
        <w:rPr>
          <w:rFonts w:cstheme="minorHAnsi"/>
        </w:rPr>
        <w:br w:type="page"/>
      </w:r>
    </w:p>
    <w:p w14:paraId="5B2888FB" w14:textId="77777777" w:rsidR="00FE1C11" w:rsidRDefault="00FE1C11" w:rsidP="00FE1C11">
      <w:pPr>
        <w:rPr>
          <w:rFonts w:cstheme="minorHAnsi"/>
        </w:rPr>
        <w:sectPr w:rsidR="00FE1C11" w:rsidSect="00EF606E">
          <w:endnotePr>
            <w:numFmt w:val="decimal"/>
          </w:endnotePr>
          <w:pgSz w:w="16838" w:h="11906" w:orient="landscape"/>
          <w:pgMar w:top="1440" w:right="1440" w:bottom="1440" w:left="1440" w:header="708" w:footer="708" w:gutter="0"/>
          <w:cols w:space="708"/>
          <w:docGrid w:linePitch="360"/>
        </w:sectPr>
      </w:pPr>
    </w:p>
    <w:p w14:paraId="3D1BF833" w14:textId="77777777" w:rsidR="00FE1C11" w:rsidRDefault="00FE1C11" w:rsidP="00FE1C11">
      <w:pPr>
        <w:rPr>
          <w:rFonts w:cstheme="minorHAnsi"/>
        </w:rPr>
      </w:pPr>
    </w:p>
    <w:p w14:paraId="5CBEB3F8" w14:textId="77777777" w:rsidR="00F05500" w:rsidRPr="00F05500" w:rsidRDefault="00F05500" w:rsidP="005012E3">
      <w:pPr>
        <w:rPr>
          <w:i/>
          <w:iCs/>
        </w:rPr>
      </w:pPr>
    </w:p>
    <w:p w14:paraId="459632A0" w14:textId="12A99D7F" w:rsidR="00672A16" w:rsidRDefault="00BE493B" w:rsidP="005E5723">
      <w:pPr>
        <w:spacing w:line="276" w:lineRule="auto"/>
        <w:rPr>
          <w:b/>
          <w:bCs/>
        </w:rPr>
      </w:pPr>
      <w:r w:rsidRPr="00F22522">
        <w:rPr>
          <w:b/>
          <w:bCs/>
        </w:rPr>
        <w:t>References</w:t>
      </w:r>
      <w:bookmarkEnd w:id="1"/>
    </w:p>
    <w:sectPr w:rsidR="00672A16" w:rsidSect="006A0EA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3C03" w14:textId="77777777" w:rsidR="00A3403A" w:rsidRDefault="00A3403A" w:rsidP="00196BA2">
      <w:pPr>
        <w:spacing w:after="0" w:line="240" w:lineRule="auto"/>
      </w:pPr>
      <w:r>
        <w:separator/>
      </w:r>
    </w:p>
  </w:endnote>
  <w:endnote w:type="continuationSeparator" w:id="0">
    <w:p w14:paraId="54ECCE84" w14:textId="77777777" w:rsidR="00A3403A" w:rsidRDefault="00A3403A" w:rsidP="00196BA2">
      <w:pPr>
        <w:spacing w:after="0" w:line="240" w:lineRule="auto"/>
      </w:pPr>
      <w:r>
        <w:continuationSeparator/>
      </w:r>
    </w:p>
  </w:endnote>
  <w:endnote w:id="1">
    <w:p w14:paraId="5518EDCC" w14:textId="2C140117" w:rsidR="00576275" w:rsidRDefault="00576275">
      <w:pPr>
        <w:pStyle w:val="EndnoteText"/>
        <w:rPr>
          <w:rFonts w:cstheme="minorHAnsi"/>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Zhou F, Yu T, Du R et al. Clinical course and risk factors for mortality of adult inpatients with COVID-19 in Wuhan, China: a retrospec</w:t>
      </w:r>
      <w:r w:rsidRPr="00076CFD">
        <w:rPr>
          <w:rFonts w:cstheme="minorHAnsi"/>
          <w:sz w:val="22"/>
          <w:szCs w:val="22"/>
        </w:rPr>
        <w:softHyphen/>
        <w:t>tive cohort study. Lancet 2020;395:1054–62.</w:t>
      </w:r>
    </w:p>
    <w:p w14:paraId="167A8754" w14:textId="77777777" w:rsidR="0095067E" w:rsidRPr="00076CFD" w:rsidRDefault="0095067E">
      <w:pPr>
        <w:pStyle w:val="EndnoteText"/>
        <w:rPr>
          <w:rFonts w:cstheme="minorHAnsi"/>
          <w:sz w:val="22"/>
          <w:szCs w:val="22"/>
        </w:rPr>
      </w:pPr>
    </w:p>
  </w:endnote>
  <w:endnote w:id="2">
    <w:p w14:paraId="64AFE182" w14:textId="75A66F4A" w:rsidR="00576275" w:rsidRDefault="00576275">
      <w:pPr>
        <w:pStyle w:val="EndnoteText"/>
        <w:rPr>
          <w:rFonts w:cstheme="minorHAnsi"/>
          <w:noProof/>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noProof/>
          <w:sz w:val="22"/>
          <w:szCs w:val="22"/>
        </w:rPr>
        <w:t>Boccia S, Ricciardi W, Ioannidis JPA. What Other Countries Can Learn From Italy During the COVID-19 Pandemic. JAMA Intern Med. Published online April 07, 2020.  Doi:10.1001/jamainternmed.2020.1447. PMID: 32259190</w:t>
      </w:r>
    </w:p>
    <w:p w14:paraId="0D08588E" w14:textId="77777777" w:rsidR="0095067E" w:rsidRPr="00076CFD" w:rsidRDefault="0095067E">
      <w:pPr>
        <w:pStyle w:val="EndnoteText"/>
        <w:rPr>
          <w:rFonts w:cstheme="minorHAnsi"/>
          <w:sz w:val="22"/>
          <w:szCs w:val="22"/>
        </w:rPr>
      </w:pPr>
    </w:p>
  </w:endnote>
  <w:endnote w:id="3">
    <w:p w14:paraId="658194AA" w14:textId="1439FE01" w:rsidR="00576275" w:rsidRDefault="00576275">
      <w:pPr>
        <w:pStyle w:val="EndnoteText"/>
        <w:rPr>
          <w:rFonts w:cstheme="minorHAnsi"/>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noProof/>
          <w:sz w:val="22"/>
          <w:szCs w:val="22"/>
        </w:rPr>
        <w:t xml:space="preserve">Coebergh J. Only reliable data on hospital-acquired covid-19 will give people confidence that hospitals are safe. BMJ  </w:t>
      </w:r>
      <w:hyperlink r:id="rId1" w:history="1">
        <w:r w:rsidRPr="00076CFD">
          <w:rPr>
            <w:rStyle w:val="Hyperlink"/>
            <w:rFonts w:cstheme="minorHAnsi"/>
            <w:color w:val="auto"/>
            <w:sz w:val="22"/>
            <w:szCs w:val="22"/>
          </w:rPr>
          <w:t>https://blogs.bmj.com/bmj/2020/05/20/we-need-reliable-data-on-hospital-acquired-covid-19/</w:t>
        </w:r>
      </w:hyperlink>
      <w:r w:rsidRPr="00076CFD">
        <w:rPr>
          <w:rFonts w:cstheme="minorHAnsi"/>
          <w:sz w:val="22"/>
          <w:szCs w:val="22"/>
        </w:rPr>
        <w:t xml:space="preserve"> last accessed 21/6/2020</w:t>
      </w:r>
    </w:p>
    <w:p w14:paraId="0FD22B9B" w14:textId="77777777" w:rsidR="0095067E" w:rsidRPr="00076CFD" w:rsidRDefault="0095067E">
      <w:pPr>
        <w:pStyle w:val="EndnoteText"/>
        <w:rPr>
          <w:rFonts w:cstheme="minorHAnsi"/>
          <w:sz w:val="22"/>
          <w:szCs w:val="22"/>
        </w:rPr>
      </w:pPr>
    </w:p>
  </w:endnote>
  <w:endnote w:id="4">
    <w:p w14:paraId="5B4C5748" w14:textId="0CDF987A" w:rsidR="00576275" w:rsidRDefault="00576275">
      <w:pPr>
        <w:pStyle w:val="EndnoteText"/>
        <w:rPr>
          <w:rFonts w:cstheme="minorHAnsi"/>
          <w:sz w:val="22"/>
          <w:szCs w:val="22"/>
          <w:shd w:val="clear" w:color="auto" w:fill="FFFFFF"/>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Goyal DK, Mansab F, Iqbal A, Bhatti S. Early intervention likely improves mortality in COVID-19 infection. Clin Med (Lond). 2020 May 1;20(3):248–50. doi: 10.7861/clinmed.2020-0214. Epub ahead of print. PMID: 32357975; PMCID: PMC7354047.</w:t>
      </w:r>
    </w:p>
    <w:p w14:paraId="78E93883" w14:textId="77777777" w:rsidR="0095067E" w:rsidRPr="00076CFD" w:rsidRDefault="0095067E">
      <w:pPr>
        <w:pStyle w:val="EndnoteText"/>
        <w:rPr>
          <w:rFonts w:cstheme="minorHAnsi"/>
          <w:sz w:val="22"/>
          <w:szCs w:val="22"/>
        </w:rPr>
      </w:pPr>
    </w:p>
  </w:endnote>
  <w:endnote w:id="5">
    <w:p w14:paraId="2A5B33C6" w14:textId="262A02A3" w:rsidR="00576275" w:rsidRDefault="00576275">
      <w:pPr>
        <w:pStyle w:val="EndnoteText"/>
        <w:rPr>
          <w:rFonts w:cstheme="minorHAnsi"/>
          <w:sz w:val="22"/>
          <w:szCs w:val="22"/>
          <w:shd w:val="clear" w:color="auto" w:fill="FFFFFF"/>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Sun Q, Qiu H, Huang M, Yang Y. Lower mortality of COVID-19 by early recognition and intervention: experience from Jiangsu Province. Ann Intensive Care. 2020 Mar 18;10(1):33. doi: 10.1186/s13613-020-00650-2. PMID: 32189136; PMCID: PMC7080931</w:t>
      </w:r>
    </w:p>
    <w:p w14:paraId="34B3E33C" w14:textId="77777777" w:rsidR="0095067E" w:rsidRPr="00076CFD" w:rsidRDefault="0095067E">
      <w:pPr>
        <w:pStyle w:val="EndnoteText"/>
        <w:rPr>
          <w:rFonts w:cstheme="minorHAnsi"/>
          <w:sz w:val="22"/>
          <w:szCs w:val="22"/>
        </w:rPr>
      </w:pPr>
    </w:p>
  </w:endnote>
  <w:endnote w:id="6">
    <w:p w14:paraId="7AD34D54" w14:textId="74213B3A" w:rsidR="00576275" w:rsidRDefault="00576275">
      <w:pPr>
        <w:pStyle w:val="EndnoteText"/>
        <w:rPr>
          <w:rFonts w:cstheme="minorHAnsi"/>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Korean Society of Infectious Diseases and Korea Centers for Disease Control and Prevention. Analysis on 54 mortality cases of coronavirus disease 2019 in the Republic of Korea from January 19 to March 10, 2020. J Korean Med Sci 2020;35:e132.</w:t>
      </w:r>
    </w:p>
    <w:p w14:paraId="39EA1662" w14:textId="77777777" w:rsidR="0095067E" w:rsidRPr="00076CFD" w:rsidRDefault="0095067E">
      <w:pPr>
        <w:pStyle w:val="EndnoteText"/>
        <w:rPr>
          <w:rFonts w:cstheme="minorHAnsi"/>
          <w:sz w:val="22"/>
          <w:szCs w:val="22"/>
        </w:rPr>
      </w:pPr>
    </w:p>
  </w:endnote>
  <w:endnote w:id="7">
    <w:p w14:paraId="15917FC0" w14:textId="6469803F" w:rsidR="00576275" w:rsidRDefault="00576275">
      <w:pPr>
        <w:pStyle w:val="EndnoteText"/>
        <w:rPr>
          <w:rFonts w:cstheme="minorHAnsi"/>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Wong JEL, Leo YS, Tan CC. COVID-19 in Singapore – current experience: critical global issues that require attention and action. JAMA, 2020, in press (DOI: 10.1001/jama.2020.2467).</w:t>
      </w:r>
    </w:p>
    <w:p w14:paraId="3E69D823" w14:textId="77777777" w:rsidR="0095067E" w:rsidRPr="00076CFD" w:rsidRDefault="0095067E">
      <w:pPr>
        <w:pStyle w:val="EndnoteText"/>
        <w:rPr>
          <w:rFonts w:cstheme="minorHAnsi"/>
          <w:sz w:val="22"/>
          <w:szCs w:val="22"/>
        </w:rPr>
      </w:pPr>
    </w:p>
  </w:endnote>
  <w:endnote w:id="8">
    <w:p w14:paraId="0380435F" w14:textId="7D959C17" w:rsidR="00576275" w:rsidRDefault="00576275">
      <w:pPr>
        <w:pStyle w:val="EndnoteText"/>
        <w:rPr>
          <w:rFonts w:cstheme="minorHAnsi"/>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Channappanavar R, Perlman S. Pathogenic human coronavirus infections: causes and consequences of cytokine storm and immu</w:t>
      </w:r>
      <w:r w:rsidRPr="00076CFD">
        <w:rPr>
          <w:rFonts w:cstheme="minorHAnsi"/>
          <w:sz w:val="22"/>
          <w:szCs w:val="22"/>
        </w:rPr>
        <w:softHyphen/>
        <w:t>nopathology. Semin Immunopathol 2017;39:529–39.</w:t>
      </w:r>
    </w:p>
    <w:p w14:paraId="6F921557" w14:textId="77777777" w:rsidR="0095067E" w:rsidRPr="00076CFD" w:rsidRDefault="0095067E">
      <w:pPr>
        <w:pStyle w:val="EndnoteText"/>
        <w:rPr>
          <w:rFonts w:cstheme="minorHAnsi"/>
          <w:sz w:val="22"/>
          <w:szCs w:val="22"/>
        </w:rPr>
      </w:pPr>
    </w:p>
  </w:endnote>
  <w:endnote w:id="9">
    <w:p w14:paraId="7CE3A2E1" w14:textId="52499587" w:rsidR="00576275" w:rsidRDefault="00576275">
      <w:pPr>
        <w:pStyle w:val="EndnoteText"/>
        <w:rPr>
          <w:rFonts w:cstheme="minorHAnsi"/>
          <w:sz w:val="22"/>
          <w:szCs w:val="22"/>
          <w:shd w:val="clear" w:color="auto" w:fill="FFFFFF"/>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The RECOVERY Collaborative Group. Dexamethasone in hospitalized patients with Covid-19 — preliminary report. N Engl J Med. 2020:NEJMoa2021436. </w:t>
      </w:r>
      <w:hyperlink r:id="rId2" w:history="1">
        <w:r w:rsidRPr="00076CFD">
          <w:rPr>
            <w:rStyle w:val="Hyperlink"/>
            <w:rFonts w:cstheme="minorHAnsi"/>
            <w:color w:val="auto"/>
            <w:sz w:val="22"/>
            <w:szCs w:val="22"/>
            <w:shd w:val="clear" w:color="auto" w:fill="FFFFFF"/>
          </w:rPr>
          <w:t>https://doi.org/10.1056/NEJMoa2021436</w:t>
        </w:r>
      </w:hyperlink>
      <w:r w:rsidRPr="00076CFD">
        <w:rPr>
          <w:rFonts w:cstheme="minorHAnsi"/>
          <w:sz w:val="22"/>
          <w:szCs w:val="22"/>
          <w:shd w:val="clear" w:color="auto" w:fill="FFFFFF"/>
        </w:rPr>
        <w:t>.</w:t>
      </w:r>
    </w:p>
    <w:p w14:paraId="6BFA3DAC" w14:textId="77777777" w:rsidR="0095067E" w:rsidRPr="00076CFD" w:rsidRDefault="0095067E">
      <w:pPr>
        <w:pStyle w:val="EndnoteText"/>
        <w:rPr>
          <w:rFonts w:cstheme="minorHAnsi"/>
          <w:sz w:val="22"/>
          <w:szCs w:val="22"/>
        </w:rPr>
      </w:pPr>
    </w:p>
  </w:endnote>
  <w:endnote w:id="10">
    <w:p w14:paraId="7DBF5252" w14:textId="7A1CE352" w:rsidR="00576275" w:rsidRDefault="00576275">
      <w:pPr>
        <w:pStyle w:val="EndnoteText"/>
        <w:rPr>
          <w:rFonts w:cstheme="minorHAnsi"/>
          <w:sz w:val="22"/>
          <w:szCs w:val="22"/>
          <w:shd w:val="clear" w:color="auto" w:fill="FFFFFF"/>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Dequin P, Heming N, Meziani F, et al. Effect of Hydrocortisone on 21-Day Mortality or Respiratory Support Among Critically Ill Patients With COVID-19</w:t>
      </w:r>
      <w:r w:rsidRPr="00076CFD">
        <w:rPr>
          <w:rStyle w:val="colon-for-citation-subtitle"/>
          <w:rFonts w:cstheme="minorHAnsi"/>
          <w:sz w:val="22"/>
          <w:szCs w:val="22"/>
          <w:shd w:val="clear" w:color="auto" w:fill="FFFFFF"/>
        </w:rPr>
        <w:t>: </w:t>
      </w:r>
      <w:r w:rsidRPr="00076CFD">
        <w:rPr>
          <w:rStyle w:val="Subtitle1"/>
          <w:rFonts w:cstheme="minorHAnsi"/>
          <w:sz w:val="22"/>
          <w:szCs w:val="22"/>
          <w:shd w:val="clear" w:color="auto" w:fill="FFFFFF"/>
        </w:rPr>
        <w:t>A Randomized Clinical Trial</w:t>
      </w:r>
      <w:r w:rsidRPr="00076CFD">
        <w:rPr>
          <w:rFonts w:cstheme="minorHAnsi"/>
          <w:sz w:val="22"/>
          <w:szCs w:val="22"/>
          <w:shd w:val="clear" w:color="auto" w:fill="FFFFFF"/>
        </w:rPr>
        <w:t>. </w:t>
      </w:r>
      <w:r w:rsidRPr="00076CFD">
        <w:rPr>
          <w:rStyle w:val="Emphasis"/>
          <w:rFonts w:cstheme="minorHAnsi"/>
          <w:i w:val="0"/>
          <w:iCs w:val="0"/>
          <w:sz w:val="22"/>
          <w:szCs w:val="22"/>
          <w:shd w:val="clear" w:color="auto" w:fill="FFFFFF"/>
        </w:rPr>
        <w:t>JAMA.</w:t>
      </w:r>
      <w:r w:rsidRPr="00076CFD">
        <w:rPr>
          <w:rFonts w:cstheme="minorHAnsi"/>
          <w:sz w:val="22"/>
          <w:szCs w:val="22"/>
          <w:shd w:val="clear" w:color="auto" w:fill="FFFFFF"/>
        </w:rPr>
        <w:t> 2020;324(13):1298–1306. doi:10.1001/jama.2020.16761</w:t>
      </w:r>
    </w:p>
    <w:p w14:paraId="4149BA19" w14:textId="77777777" w:rsidR="0095067E" w:rsidRPr="00076CFD" w:rsidRDefault="0095067E">
      <w:pPr>
        <w:pStyle w:val="EndnoteText"/>
        <w:rPr>
          <w:rFonts w:cstheme="minorHAnsi"/>
          <w:sz w:val="22"/>
          <w:szCs w:val="22"/>
        </w:rPr>
      </w:pPr>
    </w:p>
  </w:endnote>
  <w:endnote w:id="11">
    <w:p w14:paraId="4A3DA421" w14:textId="2A6FFA52" w:rsidR="00576275" w:rsidRDefault="00576275">
      <w:pPr>
        <w:pStyle w:val="EndnoteText"/>
        <w:rPr>
          <w:rFonts w:cstheme="minorHAnsi"/>
          <w:sz w:val="22"/>
          <w:szCs w:val="22"/>
          <w:shd w:val="clear" w:color="auto" w:fill="FFFFFF"/>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Ronco C, Reis T, Husain-Syed F. Management of acute kidney injury in patients with COVID19. Lancet Respir Med. 2020;8(7):738-742. doi:10.1016/S2213-2600(20)30229-0</w:t>
      </w:r>
    </w:p>
    <w:p w14:paraId="24E2F422" w14:textId="77777777" w:rsidR="0095067E" w:rsidRPr="00076CFD" w:rsidRDefault="0095067E">
      <w:pPr>
        <w:pStyle w:val="EndnoteText"/>
        <w:rPr>
          <w:rFonts w:cstheme="minorHAnsi"/>
          <w:sz w:val="22"/>
          <w:szCs w:val="22"/>
        </w:rPr>
      </w:pPr>
    </w:p>
  </w:endnote>
  <w:endnote w:id="12">
    <w:p w14:paraId="757B05B4" w14:textId="1804477A" w:rsidR="00576275" w:rsidRPr="00076CFD" w:rsidRDefault="00576275" w:rsidP="00576275">
      <w:pPr>
        <w:pStyle w:val="CommentText"/>
        <w:rPr>
          <w:rFonts w:cstheme="minorHAnsi"/>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Williamson, E.J., Walker, A.J., Bhaskaran, K. et al. Factors associated with COVID-19-related death using OpenSAFELY. Nature </w:t>
      </w:r>
      <w:r w:rsidRPr="00076CFD">
        <w:rPr>
          <w:rFonts w:cstheme="minorHAnsi"/>
          <w:b/>
          <w:bCs/>
          <w:sz w:val="22"/>
          <w:szCs w:val="22"/>
          <w:shd w:val="clear" w:color="auto" w:fill="FFFFFF"/>
        </w:rPr>
        <w:t>584, </w:t>
      </w:r>
      <w:r w:rsidRPr="00076CFD">
        <w:rPr>
          <w:rFonts w:cstheme="minorHAnsi"/>
          <w:sz w:val="22"/>
          <w:szCs w:val="22"/>
          <w:shd w:val="clear" w:color="auto" w:fill="FFFFFF"/>
        </w:rPr>
        <w:t>430–436 (2020). https://doi.org/10.1038/s41586-020-2521-4</w:t>
      </w:r>
    </w:p>
    <w:p w14:paraId="0B96BED5" w14:textId="77777777" w:rsidR="00576275" w:rsidRPr="006A7267" w:rsidRDefault="00576275" w:rsidP="00576275">
      <w:pPr>
        <w:pStyle w:val="EndnoteText"/>
        <w:rPr>
          <w:rFonts w:cstheme="minorHAnsi"/>
          <w:sz w:val="22"/>
          <w:szCs w:val="22"/>
        </w:rPr>
      </w:pPr>
    </w:p>
  </w:endnote>
  <w:endnote w:id="13">
    <w:p w14:paraId="72062687" w14:textId="77777777" w:rsidR="006A7267" w:rsidRPr="006A7267" w:rsidRDefault="006A7267" w:rsidP="006A7267">
      <w:pPr>
        <w:pStyle w:val="EndnoteText"/>
        <w:rPr>
          <w:rFonts w:cstheme="minorHAnsi"/>
          <w:sz w:val="22"/>
          <w:szCs w:val="22"/>
        </w:rPr>
      </w:pPr>
      <w:r w:rsidRPr="006A7267">
        <w:rPr>
          <w:rStyle w:val="EndnoteReference"/>
          <w:rFonts w:cstheme="minorHAnsi"/>
          <w:sz w:val="22"/>
          <w:szCs w:val="22"/>
          <w:vertAlign w:val="baseline"/>
        </w:rPr>
        <w:endnoteRef/>
      </w:r>
      <w:r w:rsidRPr="006A7267">
        <w:rPr>
          <w:rFonts w:cstheme="minorHAnsi"/>
          <w:sz w:val="22"/>
          <w:szCs w:val="22"/>
        </w:rPr>
        <w:t xml:space="preserve">. Benger J.  NHS England. Reconsidering Clinical Service Provision for COVID-19 in the UK. </w:t>
      </w:r>
    </w:p>
    <w:p w14:paraId="7101062C" w14:textId="77777777" w:rsidR="006A7267" w:rsidRPr="00076CFD" w:rsidRDefault="006A7267" w:rsidP="006A7267">
      <w:pPr>
        <w:pStyle w:val="EndnoteText"/>
        <w:rPr>
          <w:rFonts w:cstheme="minorHAnsi"/>
          <w:sz w:val="22"/>
          <w:szCs w:val="22"/>
        </w:rPr>
      </w:pPr>
    </w:p>
  </w:endnote>
  <w:endnote w:id="14">
    <w:p w14:paraId="048D42D3" w14:textId="25491CD8" w:rsidR="006A7267" w:rsidRPr="006A7267" w:rsidRDefault="006A7267" w:rsidP="006A7267">
      <w:pPr>
        <w:pStyle w:val="Heading2"/>
        <w:shd w:val="clear" w:color="auto" w:fill="FFFFFF"/>
        <w:spacing w:before="0" w:after="45"/>
        <w:rPr>
          <w:rFonts w:asciiTheme="minorHAnsi" w:hAnsiTheme="minorHAnsi" w:cstheme="minorHAnsi"/>
          <w:color w:val="auto"/>
          <w:sz w:val="22"/>
          <w:szCs w:val="22"/>
        </w:rPr>
      </w:pPr>
      <w:r w:rsidRPr="006A7267">
        <w:rPr>
          <w:rStyle w:val="EndnoteReference"/>
          <w:rFonts w:asciiTheme="minorHAnsi" w:hAnsiTheme="minorHAnsi" w:cstheme="minorHAnsi"/>
          <w:color w:val="auto"/>
          <w:sz w:val="22"/>
          <w:szCs w:val="22"/>
          <w:vertAlign w:val="baseline"/>
        </w:rPr>
        <w:endnoteRef/>
      </w:r>
      <w:r w:rsidRPr="006A7267">
        <w:rPr>
          <w:rFonts w:asciiTheme="minorHAnsi" w:hAnsiTheme="minorHAnsi" w:cstheme="minorHAnsi"/>
          <w:color w:val="auto"/>
          <w:sz w:val="22"/>
          <w:szCs w:val="22"/>
        </w:rPr>
        <w:t>.</w:t>
      </w:r>
      <w:r w:rsidRPr="006A7267">
        <w:rPr>
          <w:color w:val="auto"/>
        </w:rPr>
        <w:t xml:space="preserve"> </w:t>
      </w:r>
      <w:r w:rsidRPr="006A7267">
        <w:rPr>
          <w:rFonts w:asciiTheme="minorHAnsi" w:hAnsiTheme="minorHAnsi" w:cstheme="minorHAnsi"/>
          <w:color w:val="auto"/>
          <w:sz w:val="22"/>
          <w:szCs w:val="22"/>
        </w:rPr>
        <w:t>McKinstry B, Tarassenko L, Paton C Guthrie B et al The place of telemonitoring in covid-19</w:t>
      </w:r>
      <w:r>
        <w:rPr>
          <w:rFonts w:asciiTheme="minorHAnsi" w:hAnsiTheme="minorHAnsi" w:cstheme="minorHAnsi"/>
          <w:color w:val="auto"/>
          <w:sz w:val="22"/>
          <w:szCs w:val="22"/>
        </w:rPr>
        <w:t>.</w:t>
      </w:r>
    </w:p>
    <w:p w14:paraId="656666C1" w14:textId="18F04CED" w:rsidR="006A7267" w:rsidRDefault="00FE1C11">
      <w:pPr>
        <w:pStyle w:val="EndnoteText"/>
        <w:rPr>
          <w:rFonts w:cstheme="minorHAnsi"/>
          <w:sz w:val="22"/>
          <w:szCs w:val="22"/>
        </w:rPr>
      </w:pPr>
      <w:hyperlink r:id="rId3" w:history="1">
        <w:r w:rsidR="00E21D64" w:rsidRPr="00A325F5">
          <w:rPr>
            <w:rStyle w:val="Hyperlink"/>
            <w:rFonts w:cstheme="minorHAnsi"/>
            <w:sz w:val="22"/>
            <w:szCs w:val="22"/>
          </w:rPr>
          <w:t>https://blogs.bmj.com/bmj/2020/06/12/identifying-severe-cases-of-covid-19-in-the-community/</w:t>
        </w:r>
      </w:hyperlink>
      <w:r w:rsidR="00E21D64">
        <w:rPr>
          <w:rFonts w:cstheme="minorHAnsi"/>
          <w:sz w:val="22"/>
          <w:szCs w:val="22"/>
        </w:rPr>
        <w:t xml:space="preserve"> </w:t>
      </w:r>
    </w:p>
    <w:p w14:paraId="55C3E4BB" w14:textId="77777777" w:rsidR="00E21D64" w:rsidRPr="006A7267" w:rsidRDefault="00E21D64">
      <w:pPr>
        <w:pStyle w:val="EndnoteText"/>
        <w:rPr>
          <w:rFonts w:cstheme="minorHAnsi"/>
          <w:sz w:val="22"/>
          <w:szCs w:val="22"/>
        </w:rPr>
      </w:pPr>
    </w:p>
  </w:endnote>
  <w:endnote w:id="15">
    <w:p w14:paraId="273C8569" w14:textId="4F7986A4" w:rsidR="00A9795C" w:rsidRPr="00E21D64" w:rsidRDefault="00A9795C" w:rsidP="00E21D64">
      <w:pPr>
        <w:pStyle w:val="Default"/>
      </w:pPr>
      <w:r w:rsidRPr="00E21D64">
        <w:rPr>
          <w:rStyle w:val="EndnoteReference"/>
          <w:vertAlign w:val="baseline"/>
        </w:rPr>
        <w:endnoteRef/>
      </w:r>
      <w:r w:rsidR="00E21D64">
        <w:t>.</w:t>
      </w:r>
      <w:r w:rsidRPr="00E21D64">
        <w:t xml:space="preserve"> </w:t>
      </w:r>
      <w:r w:rsidRPr="00E21D64">
        <w:rPr>
          <w:rFonts w:asciiTheme="minorHAnsi" w:hAnsiTheme="minorHAnsi" w:cstheme="minorHAnsi"/>
          <w:sz w:val="22"/>
          <w:szCs w:val="22"/>
        </w:rPr>
        <w:t xml:space="preserve">Inada-Kim M, Chmiel FP, Boniface MJ, </w:t>
      </w:r>
      <w:r w:rsidR="00E21D64" w:rsidRPr="00E21D64">
        <w:rPr>
          <w:rFonts w:asciiTheme="minorHAnsi" w:hAnsiTheme="minorHAnsi" w:cstheme="minorHAnsi"/>
          <w:sz w:val="22"/>
          <w:szCs w:val="22"/>
        </w:rPr>
        <w:t xml:space="preserve">Pocock H, Black JJM, Deakin CD.  </w:t>
      </w:r>
      <w:r w:rsidR="00E21D64" w:rsidRPr="00E21D64">
        <w:rPr>
          <w:rFonts w:asciiTheme="minorHAnsi" w:hAnsiTheme="minorHAnsi" w:cstheme="minorHAnsi"/>
          <w:bCs/>
          <w:sz w:val="22"/>
          <w:szCs w:val="22"/>
        </w:rPr>
        <w:t xml:space="preserve">Validation of home oxygen saturations as a marker of clinical deterioration in patients with suspected COVID-19. </w:t>
      </w:r>
      <w:r w:rsidR="00E21D64" w:rsidRPr="00E21D64">
        <w:rPr>
          <w:rFonts w:asciiTheme="minorHAnsi" w:hAnsiTheme="minorHAnsi" w:cstheme="minorHAnsi"/>
          <w:sz w:val="22"/>
          <w:szCs w:val="22"/>
        </w:rPr>
        <w:t xml:space="preserve"> medRxiv preprint doi: https://doi.org/10.1101/2020.11.06.20225938 </w:t>
      </w:r>
    </w:p>
  </w:endnote>
  <w:endnote w:id="16">
    <w:p w14:paraId="34FA9AF9" w14:textId="635EAB77" w:rsidR="00067BED" w:rsidRDefault="00067BED">
      <w:pPr>
        <w:pStyle w:val="EndnoteText"/>
      </w:pPr>
      <w:r w:rsidRPr="00067BED">
        <w:rPr>
          <w:rStyle w:val="EndnoteReference"/>
          <w:vertAlign w:val="baseline"/>
        </w:rPr>
        <w:endnoteRef/>
      </w:r>
      <w:r>
        <w:t xml:space="preserve">. </w:t>
      </w:r>
      <w:r w:rsidRPr="00067BED">
        <w:rPr>
          <w:sz w:val="22"/>
          <w:szCs w:val="22"/>
        </w:rPr>
        <w:t>Digital Health and Care Northern Ireland. Remote Monitoring Residential Homes, COVID-19 Learning and Recommendations.</w:t>
      </w:r>
      <w:r>
        <w:t xml:space="preserve"> </w:t>
      </w:r>
    </w:p>
  </w:endnote>
  <w:endnote w:id="17">
    <w:p w14:paraId="7D84F1E0" w14:textId="1908087D" w:rsidR="00913864" w:rsidRPr="008655DD" w:rsidRDefault="00913864" w:rsidP="008655DD">
      <w:pPr>
        <w:shd w:val="clear" w:color="auto" w:fill="FFFFFF"/>
        <w:spacing w:before="100" w:beforeAutospacing="1" w:after="100" w:afterAutospacing="1" w:line="240" w:lineRule="auto"/>
        <w:rPr>
          <w:rFonts w:cstheme="minorHAnsi"/>
        </w:rPr>
      </w:pPr>
      <w:r w:rsidRPr="008655DD">
        <w:rPr>
          <w:rStyle w:val="EndnoteReference"/>
          <w:rFonts w:cstheme="minorHAnsi"/>
          <w:vertAlign w:val="baseline"/>
        </w:rPr>
        <w:endnoteRef/>
      </w:r>
      <w:r w:rsidRPr="008655DD">
        <w:rPr>
          <w:rFonts w:cstheme="minorHAnsi"/>
        </w:rPr>
        <w:t xml:space="preserve">. </w:t>
      </w:r>
      <w:r w:rsidRPr="008655DD">
        <w:rPr>
          <w:rFonts w:cstheme="minorHAnsi"/>
          <w:color w:val="333333"/>
          <w:shd w:val="clear" w:color="auto" w:fill="FFFFFF"/>
        </w:rPr>
        <w:t xml:space="preserve">Guan W, Ni Z, Hu Y, Liang W, Ou C, He J, et al. Clinical characteristics of coronavirus disease 2019 in China. N Engl J MedMassachusetts Medical Society. 2020. Epub ahead of print. </w:t>
      </w:r>
      <w:r w:rsidRPr="008655DD">
        <w:rPr>
          <w:rFonts w:eastAsia="Times New Roman" w:cstheme="minorHAnsi"/>
          <w:color w:val="5B616B"/>
          <w:lang w:eastAsia="en-GB"/>
        </w:rPr>
        <w:t xml:space="preserve">30;382(18):1708-1720. </w:t>
      </w:r>
      <w:r w:rsidRPr="008655DD">
        <w:rPr>
          <w:rStyle w:val="id-label"/>
          <w:rFonts w:cstheme="minorHAnsi"/>
          <w:color w:val="212121"/>
        </w:rPr>
        <w:t>DOI: </w:t>
      </w:r>
      <w:hyperlink r:id="rId4" w:tgtFrame="_blank" w:history="1">
        <w:r w:rsidRPr="008655DD">
          <w:rPr>
            <w:rStyle w:val="Hyperlink"/>
            <w:rFonts w:cstheme="minorHAnsi"/>
            <w:color w:val="0071BC"/>
          </w:rPr>
          <w:t>10.1056/NEJMoa2002032</w:t>
        </w:r>
      </w:hyperlink>
      <w:r w:rsidRPr="008655DD">
        <w:rPr>
          <w:rStyle w:val="identifier"/>
          <w:rFonts w:cstheme="minorHAnsi"/>
          <w:color w:val="212121"/>
        </w:rPr>
        <w:t>.</w:t>
      </w:r>
      <w:r w:rsidRPr="008655DD">
        <w:rPr>
          <w:rFonts w:eastAsia="Times New Roman" w:cstheme="minorHAnsi"/>
          <w:color w:val="5B616B"/>
          <w:lang w:eastAsia="en-GB"/>
        </w:rPr>
        <w:t xml:space="preserve"> </w:t>
      </w:r>
      <w:r w:rsidRPr="008655DD">
        <w:rPr>
          <w:rStyle w:val="id-label"/>
          <w:rFonts w:cstheme="minorHAnsi"/>
          <w:color w:val="212121"/>
        </w:rPr>
        <w:t>PMID: </w:t>
      </w:r>
      <w:r w:rsidRPr="008655DD">
        <w:rPr>
          <w:rStyle w:val="Strong"/>
          <w:rFonts w:cstheme="minorHAnsi"/>
          <w:b w:val="0"/>
          <w:bCs w:val="0"/>
          <w:color w:val="212121"/>
        </w:rPr>
        <w:t>32109013;</w:t>
      </w:r>
      <w:r w:rsidRPr="008655DD">
        <w:rPr>
          <w:rStyle w:val="id-label"/>
          <w:rFonts w:cstheme="minorHAnsi"/>
          <w:color w:val="212121"/>
        </w:rPr>
        <w:t>PMCID: </w:t>
      </w:r>
      <w:hyperlink r:id="rId5" w:tgtFrame="_blank" w:history="1">
        <w:r w:rsidRPr="008655DD">
          <w:rPr>
            <w:rStyle w:val="Hyperlink"/>
            <w:rFonts w:cstheme="minorHAnsi"/>
            <w:color w:val="0071BC"/>
          </w:rPr>
          <w:t>PMC7092819</w:t>
        </w:r>
      </w:hyperlink>
    </w:p>
  </w:endnote>
  <w:endnote w:id="18">
    <w:p w14:paraId="4E8A6881" w14:textId="40AB08B0" w:rsidR="0062633D" w:rsidRPr="008655DD" w:rsidRDefault="001F0AD3" w:rsidP="0062633D">
      <w:pPr>
        <w:pStyle w:val="EndnoteText"/>
        <w:spacing w:line="276" w:lineRule="auto"/>
        <w:rPr>
          <w:rFonts w:cstheme="minorHAnsi"/>
          <w:sz w:val="22"/>
          <w:szCs w:val="22"/>
        </w:rPr>
      </w:pPr>
      <w:r w:rsidRPr="008655DD">
        <w:rPr>
          <w:rStyle w:val="EndnoteReference"/>
          <w:rFonts w:cstheme="minorHAnsi"/>
          <w:sz w:val="22"/>
          <w:szCs w:val="22"/>
          <w:vertAlign w:val="baseline"/>
        </w:rPr>
        <w:endnoteRef/>
      </w:r>
      <w:r w:rsidR="008655DD">
        <w:rPr>
          <w:rFonts w:cstheme="minorHAnsi"/>
          <w:sz w:val="22"/>
          <w:szCs w:val="22"/>
        </w:rPr>
        <w:t>.</w:t>
      </w:r>
      <w:r w:rsidRPr="008655DD">
        <w:rPr>
          <w:rFonts w:cstheme="minorHAnsi"/>
          <w:sz w:val="22"/>
          <w:szCs w:val="22"/>
        </w:rPr>
        <w:t xml:space="preserve"> </w:t>
      </w:r>
      <w:r w:rsidRPr="008655DD">
        <w:rPr>
          <w:rFonts w:cstheme="minorHAnsi"/>
          <w:color w:val="333333"/>
          <w:sz w:val="22"/>
          <w:szCs w:val="22"/>
          <w:shd w:val="clear" w:color="auto" w:fill="FFFFFF"/>
        </w:rPr>
        <w:t>Dhont, S., Derom, E., Van Braeckel, E. </w:t>
      </w:r>
      <w:r w:rsidRPr="008655DD">
        <w:rPr>
          <w:rFonts w:cstheme="minorHAnsi"/>
          <w:i/>
          <w:iCs/>
          <w:color w:val="333333"/>
          <w:sz w:val="22"/>
          <w:szCs w:val="22"/>
          <w:shd w:val="clear" w:color="auto" w:fill="FFFFFF"/>
        </w:rPr>
        <w:t>et al.</w:t>
      </w:r>
      <w:r w:rsidRPr="008655DD">
        <w:rPr>
          <w:rFonts w:cstheme="minorHAnsi"/>
          <w:color w:val="333333"/>
          <w:sz w:val="22"/>
          <w:szCs w:val="22"/>
          <w:shd w:val="clear" w:color="auto" w:fill="FFFFFF"/>
        </w:rPr>
        <w:t> The pathophysiology of ‘happy’ hypoxemia in COVID-19. </w:t>
      </w:r>
      <w:r w:rsidRPr="008655DD">
        <w:rPr>
          <w:rFonts w:cstheme="minorHAnsi"/>
          <w:i/>
          <w:iCs/>
          <w:color w:val="333333"/>
          <w:sz w:val="22"/>
          <w:szCs w:val="22"/>
          <w:shd w:val="clear" w:color="auto" w:fill="FFFFFF"/>
        </w:rPr>
        <w:t>Respir Res</w:t>
      </w:r>
      <w:r w:rsidRPr="008655DD">
        <w:rPr>
          <w:rFonts w:cstheme="minorHAnsi"/>
          <w:color w:val="333333"/>
          <w:sz w:val="22"/>
          <w:szCs w:val="22"/>
          <w:shd w:val="clear" w:color="auto" w:fill="FFFFFF"/>
        </w:rPr>
        <w:t> </w:t>
      </w:r>
      <w:r w:rsidRPr="008655DD">
        <w:rPr>
          <w:rFonts w:cstheme="minorHAnsi"/>
          <w:b/>
          <w:bCs/>
          <w:color w:val="333333"/>
          <w:sz w:val="22"/>
          <w:szCs w:val="22"/>
          <w:shd w:val="clear" w:color="auto" w:fill="FFFFFF"/>
        </w:rPr>
        <w:t>21, </w:t>
      </w:r>
      <w:r w:rsidRPr="008655DD">
        <w:rPr>
          <w:rFonts w:cstheme="minorHAnsi"/>
          <w:color w:val="333333"/>
          <w:sz w:val="22"/>
          <w:szCs w:val="22"/>
          <w:shd w:val="clear" w:color="auto" w:fill="FFFFFF"/>
        </w:rPr>
        <w:t xml:space="preserve">198 (2020). </w:t>
      </w:r>
      <w:hyperlink r:id="rId6" w:history="1">
        <w:r w:rsidR="0062633D" w:rsidRPr="00D72EAC">
          <w:rPr>
            <w:rStyle w:val="Hyperlink"/>
            <w:rFonts w:cstheme="minorHAnsi"/>
            <w:sz w:val="22"/>
            <w:szCs w:val="22"/>
            <w:shd w:val="clear" w:color="auto" w:fill="FFFFFF"/>
          </w:rPr>
          <w:t>https://doi.org/10.1186/s12931-020-01462-5</w:t>
        </w:r>
      </w:hyperlink>
    </w:p>
  </w:endnote>
  <w:endnote w:id="19">
    <w:p w14:paraId="4C6DFF4F" w14:textId="77777777" w:rsidR="0062633D" w:rsidRDefault="0062633D" w:rsidP="0062633D">
      <w:pPr>
        <w:shd w:val="clear" w:color="auto" w:fill="FFFFFF"/>
        <w:spacing w:after="0" w:line="276" w:lineRule="auto"/>
      </w:pPr>
    </w:p>
    <w:p w14:paraId="1FDE9524" w14:textId="32E8655F" w:rsidR="0062633D" w:rsidRPr="0062633D" w:rsidRDefault="0062633D" w:rsidP="0062633D">
      <w:pPr>
        <w:shd w:val="clear" w:color="auto" w:fill="FFFFFF"/>
        <w:spacing w:after="0"/>
        <w:rPr>
          <w:rFonts w:eastAsia="Times New Roman" w:cstheme="minorHAnsi"/>
          <w:color w:val="333333"/>
          <w:lang w:eastAsia="en-GB"/>
        </w:rPr>
      </w:pPr>
      <w:r w:rsidRPr="0062633D">
        <w:rPr>
          <w:rStyle w:val="EndnoteReference"/>
          <w:vertAlign w:val="baseline"/>
        </w:rPr>
        <w:endnoteRef/>
      </w:r>
      <w:r>
        <w:t xml:space="preserve">. </w:t>
      </w:r>
      <w:r w:rsidRPr="0062633D">
        <w:rPr>
          <w:rFonts w:eastAsia="Times New Roman" w:cstheme="minorHAnsi"/>
          <w:color w:val="333333"/>
          <w:lang w:eastAsia="en-GB"/>
        </w:rPr>
        <w:t>Greenhalgh T, Thompson P, Weiringa S</w:t>
      </w:r>
      <w:r w:rsidRPr="0062633D">
        <w:rPr>
          <w:rFonts w:eastAsia="Times New Roman" w:cstheme="minorHAnsi"/>
          <w:i/>
          <w:iCs/>
          <w:color w:val="333333"/>
          <w:lang w:eastAsia="en-GB"/>
        </w:rPr>
        <w:t>, et al</w:t>
      </w:r>
      <w:r>
        <w:rPr>
          <w:rFonts w:eastAsia="Times New Roman" w:cstheme="minorHAnsi"/>
          <w:i/>
          <w:iCs/>
          <w:color w:val="333333"/>
          <w:lang w:eastAsia="en-GB"/>
        </w:rPr>
        <w:t xml:space="preserve"> </w:t>
      </w:r>
      <w:r w:rsidRPr="0062633D">
        <w:rPr>
          <w:rFonts w:eastAsia="Times New Roman" w:cstheme="minorHAnsi"/>
          <w:color w:val="333333"/>
          <w:lang w:eastAsia="en-GB"/>
        </w:rPr>
        <w:t>What items should be included in an early warning score for remote assessment of suspected COVID-19? qualitative and Delphi study</w:t>
      </w:r>
      <w:r>
        <w:rPr>
          <w:rFonts w:eastAsia="Times New Roman" w:cstheme="minorHAnsi"/>
          <w:color w:val="333333"/>
          <w:lang w:eastAsia="en-GB"/>
        </w:rPr>
        <w:t xml:space="preserve"> </w:t>
      </w:r>
      <w:r w:rsidRPr="0062633D">
        <w:rPr>
          <w:rFonts w:eastAsia="Times New Roman" w:cstheme="minorHAnsi"/>
          <w:i/>
          <w:iCs/>
          <w:color w:val="333333"/>
          <w:lang w:eastAsia="en-GB"/>
        </w:rPr>
        <w:t>BMJ Open </w:t>
      </w:r>
      <w:r w:rsidRPr="0062633D">
        <w:rPr>
          <w:rFonts w:eastAsia="Times New Roman" w:cstheme="minorHAnsi"/>
          <w:color w:val="333333"/>
          <w:lang w:eastAsia="en-GB"/>
        </w:rPr>
        <w:t>2020;</w:t>
      </w:r>
      <w:r w:rsidRPr="0062633D">
        <w:rPr>
          <w:rFonts w:eastAsia="Times New Roman" w:cstheme="minorHAnsi"/>
          <w:b/>
          <w:bCs/>
          <w:color w:val="333333"/>
          <w:lang w:eastAsia="en-GB"/>
        </w:rPr>
        <w:t>10:</w:t>
      </w:r>
      <w:r w:rsidRPr="0062633D">
        <w:rPr>
          <w:rFonts w:eastAsia="Times New Roman" w:cstheme="minorHAnsi"/>
          <w:color w:val="333333"/>
          <w:lang w:eastAsia="en-GB"/>
        </w:rPr>
        <w:t>e042626. doi: 10.1136/bmjopen-2020-042626</w:t>
      </w:r>
      <w:r>
        <w:rPr>
          <w:rFonts w:eastAsia="Times New Roman" w:cstheme="minorHAnsi"/>
          <w:color w:val="333333"/>
          <w:lang w:eastAsia="en-GB"/>
        </w:rPr>
        <w:t>.</w:t>
      </w:r>
    </w:p>
    <w:p w14:paraId="6D7F9E9C" w14:textId="390C3CED" w:rsidR="0062633D" w:rsidRDefault="0062633D" w:rsidP="0062633D">
      <w:pPr>
        <w:pStyle w:val="EndnoteText"/>
      </w:pPr>
    </w:p>
  </w:endnote>
  <w:endnote w:id="20">
    <w:p w14:paraId="78F83CC1" w14:textId="6F45B63F" w:rsidR="00576275" w:rsidRDefault="00576275">
      <w:pPr>
        <w:pStyle w:val="EndnoteText"/>
        <w:rPr>
          <w:rFonts w:cstheme="minorHAnsi"/>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Use of Remote Monitoring for COVID-19 Patient (RPM) </w:t>
      </w:r>
      <w:hyperlink r:id="rId7" w:history="1">
        <w:r w:rsidR="0095067E" w:rsidRPr="006852E8">
          <w:rPr>
            <w:rStyle w:val="Hyperlink"/>
            <w:rFonts w:cstheme="minorHAnsi"/>
            <w:sz w:val="22"/>
            <w:szCs w:val="22"/>
          </w:rPr>
          <w:t>https://clinicaltrials.gov/ct2/show/NCT04425720</w:t>
        </w:r>
      </w:hyperlink>
    </w:p>
    <w:p w14:paraId="25FDFF79" w14:textId="77777777" w:rsidR="0095067E" w:rsidRPr="00076CFD" w:rsidRDefault="0095067E">
      <w:pPr>
        <w:pStyle w:val="EndnoteText"/>
        <w:rPr>
          <w:rFonts w:cstheme="minorHAnsi"/>
          <w:sz w:val="22"/>
          <w:szCs w:val="22"/>
        </w:rPr>
      </w:pPr>
    </w:p>
  </w:endnote>
  <w:endnote w:id="21">
    <w:p w14:paraId="22B52E52" w14:textId="58629078" w:rsidR="00576275" w:rsidRDefault="00576275" w:rsidP="0095067E">
      <w:pPr>
        <w:pStyle w:val="Default"/>
        <w:rPr>
          <w:rFonts w:cstheme="minorHAnsi"/>
          <w:sz w:val="22"/>
          <w:szCs w:val="22"/>
        </w:rPr>
      </w:pPr>
      <w:r w:rsidRPr="00076CFD">
        <w:rPr>
          <w:rStyle w:val="EndnoteReference"/>
          <w:rFonts w:asciiTheme="minorHAnsi" w:hAnsiTheme="minorHAnsi" w:cstheme="minorHAnsi"/>
          <w:color w:val="auto"/>
          <w:sz w:val="22"/>
          <w:szCs w:val="22"/>
          <w:vertAlign w:val="baseline"/>
        </w:rPr>
        <w:endnoteRef/>
      </w:r>
      <w:r w:rsidR="00076CFD">
        <w:rPr>
          <w:rFonts w:asciiTheme="minorHAnsi" w:hAnsiTheme="minorHAnsi" w:cstheme="minorHAnsi"/>
          <w:color w:val="auto"/>
          <w:sz w:val="22"/>
          <w:szCs w:val="22"/>
        </w:rPr>
        <w:t>.</w:t>
      </w:r>
      <w:r w:rsidRPr="00076CFD">
        <w:rPr>
          <w:rFonts w:asciiTheme="minorHAnsi" w:hAnsiTheme="minorHAnsi" w:cstheme="minorHAnsi"/>
          <w:color w:val="auto"/>
          <w:sz w:val="22"/>
          <w:szCs w:val="22"/>
        </w:rPr>
        <w:t xml:space="preserve"> Sensor based vital signs monitoring of patients with clinical manifestation of Covid-19 disease during home isolation</w:t>
      </w:r>
      <w:hyperlink r:id="rId8" w:history="1">
        <w:r w:rsidR="0095067E" w:rsidRPr="006852E8">
          <w:rPr>
            <w:rStyle w:val="Hyperlink"/>
            <w:rFonts w:cstheme="minorHAnsi"/>
            <w:sz w:val="22"/>
            <w:szCs w:val="22"/>
          </w:rPr>
          <w:t>https://clinicaltrials.gov/ct2/show/NCT04335097</w:t>
        </w:r>
      </w:hyperlink>
    </w:p>
    <w:p w14:paraId="7A4D0DA7" w14:textId="77777777" w:rsidR="0095067E" w:rsidRPr="00076CFD" w:rsidRDefault="0095067E" w:rsidP="00576275">
      <w:pPr>
        <w:pStyle w:val="EndnoteText"/>
        <w:rPr>
          <w:rFonts w:cstheme="minorHAnsi"/>
          <w:sz w:val="22"/>
          <w:szCs w:val="22"/>
        </w:rPr>
      </w:pPr>
    </w:p>
  </w:endnote>
  <w:endnote w:id="22">
    <w:p w14:paraId="01E51446" w14:textId="41EE124B" w:rsidR="00576275" w:rsidRDefault="00576275">
      <w:pPr>
        <w:pStyle w:val="EndnoteText"/>
        <w:rPr>
          <w:rFonts w:cstheme="minorHAnsi"/>
          <w:sz w:val="22"/>
          <w:szCs w:val="22"/>
          <w:shd w:val="clear" w:color="auto" w:fill="FFFFFF"/>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Silven AV, Petrus AHJ, Villalobos-Quesada M, Dirikgil E, Oerlemans CR et al. Telemonitoring for Patients With COVID-19: Recommendations for Design and Implementation. J Med Internet Res. 2020 Sep 2;22(9):e20953. doi: 10.2196/20953. PMID: 32833660; PMCID: PMC7473766.</w:t>
      </w:r>
    </w:p>
    <w:p w14:paraId="65409BEA" w14:textId="77777777" w:rsidR="0095067E" w:rsidRPr="00076CFD" w:rsidRDefault="0095067E">
      <w:pPr>
        <w:pStyle w:val="EndnoteText"/>
        <w:rPr>
          <w:rFonts w:cstheme="minorHAnsi"/>
          <w:sz w:val="22"/>
          <w:szCs w:val="22"/>
        </w:rPr>
      </w:pPr>
    </w:p>
  </w:endnote>
  <w:endnote w:id="23">
    <w:p w14:paraId="054403CC" w14:textId="7AAA4396" w:rsidR="00576275" w:rsidRDefault="00576275">
      <w:pPr>
        <w:pStyle w:val="EndnoteText"/>
        <w:rPr>
          <w:rFonts w:cstheme="minorHAnsi"/>
          <w:sz w:val="22"/>
          <w:szCs w:val="22"/>
          <w:shd w:val="clear" w:color="auto" w:fill="FFFFFF"/>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sz w:val="22"/>
          <w:szCs w:val="22"/>
          <w:shd w:val="clear" w:color="auto" w:fill="FFFFFF"/>
        </w:rPr>
        <w:t>Annis T, Pleasants S, Hultman G, Lindemann E, Thompson JA, Billecke S, Badlani S, Melton GB. Rapid implementation of a COVID-19 remote patient monitoring program. J Am Med Inform Assoc. 2020 Aug 1;27(8):1326-1330. doi: 10.1093/jamia/ocaa097. PMID: 32392280; PMCID: PMC7239139</w:t>
      </w:r>
    </w:p>
    <w:p w14:paraId="70EFBAB0" w14:textId="77777777" w:rsidR="0095067E" w:rsidRPr="00076CFD" w:rsidRDefault="0095067E">
      <w:pPr>
        <w:pStyle w:val="EndnoteText"/>
        <w:rPr>
          <w:rFonts w:cstheme="minorHAnsi"/>
          <w:sz w:val="22"/>
          <w:szCs w:val="22"/>
        </w:rPr>
      </w:pPr>
    </w:p>
  </w:endnote>
  <w:endnote w:id="24">
    <w:p w14:paraId="18FFB70D" w14:textId="37D9F30A" w:rsidR="00576275" w:rsidRDefault="00576275">
      <w:pPr>
        <w:pStyle w:val="EndnoteText"/>
        <w:rPr>
          <w:rFonts w:cstheme="minorHAnsi"/>
          <w:noProof/>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noProof/>
          <w:sz w:val="22"/>
          <w:szCs w:val="22"/>
        </w:rPr>
        <w:t>Centre for Evidence Based Medicine. Are there any evidence-based ways of assessing dyspnoea (breathlessness) by telephone or video? https://www.cebm.net/covid-19/are-there-any-evidence-based-ways-of-assessing-dyspnoea-breathlessness-by-telephone-or-video/  Last accessed 21/06/20</w:t>
      </w:r>
    </w:p>
    <w:p w14:paraId="3F4D9F46" w14:textId="77777777" w:rsidR="0095067E" w:rsidRPr="00076CFD" w:rsidRDefault="0095067E">
      <w:pPr>
        <w:pStyle w:val="EndnoteText"/>
        <w:rPr>
          <w:rFonts w:cstheme="minorHAnsi"/>
          <w:sz w:val="22"/>
          <w:szCs w:val="22"/>
        </w:rPr>
      </w:pPr>
    </w:p>
  </w:endnote>
  <w:endnote w:id="25">
    <w:p w14:paraId="34F7774A" w14:textId="1FE415B3" w:rsidR="00576275" w:rsidRDefault="00576275">
      <w:pPr>
        <w:pStyle w:val="EndnoteText"/>
        <w:rPr>
          <w:rFonts w:cstheme="minorHAnsi"/>
          <w:noProof/>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007D4E0D" w:rsidRPr="00076CFD">
        <w:rPr>
          <w:rFonts w:cstheme="minorHAnsi"/>
          <w:noProof/>
          <w:sz w:val="22"/>
          <w:szCs w:val="22"/>
        </w:rPr>
        <w:t>Rubio N, Parker RA, Drost EM, et al. Home monitoring of breathing rate in people with chronic obstructive pulmonary disease: observational study of feasibility, acceptability, and change after exacerbation. Int J Chron Obstruct Pulmon Dis. 2017;12:1221–1231. doi:10.2147/COPD.S120706 PMID: 28458534</w:t>
      </w:r>
    </w:p>
    <w:p w14:paraId="0C2142A1" w14:textId="77777777" w:rsidR="0095067E" w:rsidRPr="00076CFD" w:rsidRDefault="0095067E">
      <w:pPr>
        <w:pStyle w:val="EndnoteText"/>
        <w:rPr>
          <w:rFonts w:cstheme="minorHAnsi"/>
          <w:sz w:val="22"/>
          <w:szCs w:val="22"/>
        </w:rPr>
      </w:pPr>
    </w:p>
  </w:endnote>
  <w:endnote w:id="26">
    <w:p w14:paraId="79502C58" w14:textId="7305E2B7" w:rsidR="007D4E0D" w:rsidRDefault="007D4E0D">
      <w:pPr>
        <w:pStyle w:val="EndnoteText"/>
        <w:rPr>
          <w:rFonts w:cstheme="minorHAnsi"/>
          <w:noProof/>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noProof/>
          <w:sz w:val="22"/>
          <w:szCs w:val="22"/>
        </w:rPr>
        <w:t>L’Her, E., N’Guyen, Q., Pateau, V. et al. Photoplethysmographic determination of the respiratory rate in acutely ill patients: validation of a new algorithm and implementation into a biomedical device. Ann. Intensive Care 9, 11 (2019). https://doi.org/10.1186/s13613-019-0485-z PMID: 30666472</w:t>
      </w:r>
    </w:p>
    <w:p w14:paraId="43D78A94" w14:textId="77777777" w:rsidR="0095067E" w:rsidRPr="00076CFD" w:rsidRDefault="0095067E">
      <w:pPr>
        <w:pStyle w:val="EndnoteText"/>
        <w:rPr>
          <w:rFonts w:cstheme="minorHAnsi"/>
          <w:sz w:val="22"/>
          <w:szCs w:val="22"/>
        </w:rPr>
      </w:pPr>
    </w:p>
  </w:endnote>
  <w:endnote w:id="27">
    <w:p w14:paraId="19C5F43D" w14:textId="1E63577E" w:rsidR="007D4E0D" w:rsidRPr="00076CFD" w:rsidRDefault="007D4E0D" w:rsidP="007D4E0D">
      <w:pPr>
        <w:pStyle w:val="PlainText"/>
        <w:spacing w:line="276" w:lineRule="auto"/>
        <w:rPr>
          <w:rFonts w:asciiTheme="minorHAnsi" w:hAnsiTheme="minorHAnsi" w:cstheme="minorHAnsi"/>
          <w:noProof/>
          <w:szCs w:val="22"/>
        </w:rPr>
      </w:pPr>
      <w:r w:rsidRPr="00076CFD">
        <w:rPr>
          <w:rStyle w:val="EndnoteReference"/>
          <w:rFonts w:asciiTheme="minorHAnsi" w:hAnsiTheme="minorHAnsi" w:cstheme="minorHAnsi"/>
          <w:szCs w:val="22"/>
          <w:vertAlign w:val="baseline"/>
        </w:rPr>
        <w:endnoteRef/>
      </w:r>
      <w:r w:rsidR="00076CFD">
        <w:rPr>
          <w:rFonts w:asciiTheme="minorHAnsi" w:hAnsiTheme="minorHAnsi" w:cstheme="minorHAnsi"/>
          <w:szCs w:val="22"/>
        </w:rPr>
        <w:t>.</w:t>
      </w:r>
      <w:r w:rsidRPr="00076CFD">
        <w:rPr>
          <w:rFonts w:asciiTheme="minorHAnsi" w:hAnsiTheme="minorHAnsi" w:cstheme="minorHAnsi"/>
          <w:szCs w:val="22"/>
        </w:rPr>
        <w:t xml:space="preserve"> </w:t>
      </w:r>
      <w:r w:rsidRPr="00076CFD">
        <w:rPr>
          <w:rFonts w:asciiTheme="minorHAnsi" w:hAnsiTheme="minorHAnsi" w:cstheme="minorHAnsi"/>
          <w:noProof/>
          <w:szCs w:val="22"/>
        </w:rPr>
        <w:t>Masimo. MIghtySat RxFingertip pulse oximeter.  https://www.masimo.co.uk/products/monitors/spot-check/mightysatrx/ Last Accessed 05.04.20</w:t>
      </w:r>
    </w:p>
    <w:p w14:paraId="7ED804B7" w14:textId="5A3784ED" w:rsidR="007D4E0D" w:rsidRPr="00076CFD" w:rsidRDefault="007D4E0D">
      <w:pPr>
        <w:pStyle w:val="EndnoteText"/>
        <w:rPr>
          <w:rFonts w:cstheme="minorHAnsi"/>
          <w:sz w:val="22"/>
          <w:szCs w:val="22"/>
        </w:rPr>
      </w:pPr>
    </w:p>
  </w:endnote>
  <w:endnote w:id="28">
    <w:p w14:paraId="4D6E9E51" w14:textId="5A9F4974" w:rsidR="007D4E0D" w:rsidRDefault="007D4E0D">
      <w:pPr>
        <w:pStyle w:val="EndnoteText"/>
        <w:rPr>
          <w:rFonts w:cstheme="minorHAnsi"/>
          <w:noProof/>
          <w:sz w:val="22"/>
          <w:szCs w:val="22"/>
        </w:rPr>
      </w:pPr>
      <w:r w:rsidRPr="00076CFD">
        <w:rPr>
          <w:rStyle w:val="EndnoteReference"/>
          <w:rFonts w:cstheme="minorHAnsi"/>
          <w:sz w:val="22"/>
          <w:szCs w:val="22"/>
          <w:vertAlign w:val="baseline"/>
        </w:rPr>
        <w:endnoteRef/>
      </w:r>
      <w:r w:rsidR="00076CFD">
        <w:rPr>
          <w:rFonts w:cstheme="minorHAnsi"/>
          <w:sz w:val="22"/>
          <w:szCs w:val="22"/>
        </w:rPr>
        <w:t>.</w:t>
      </w:r>
      <w:r w:rsidRPr="00076CFD">
        <w:rPr>
          <w:rFonts w:cstheme="minorHAnsi"/>
          <w:sz w:val="22"/>
          <w:szCs w:val="22"/>
        </w:rPr>
        <w:t xml:space="preserve"> </w:t>
      </w:r>
      <w:r w:rsidRPr="00076CFD">
        <w:rPr>
          <w:rFonts w:cstheme="minorHAnsi"/>
          <w:noProof/>
          <w:sz w:val="22"/>
          <w:szCs w:val="22"/>
        </w:rPr>
        <w:t>Greenhalgh T, Wherton J, Papoutsi C et al. Beyond Adoption: A new framework for theorizing and evaluating nonadoption, abandonment, and challenges to the scale-Up, spread, and sustainability of health and care technologies. J Med Internet Res 2017;19(11):e367 PMID: 29092808</w:t>
      </w:r>
    </w:p>
    <w:p w14:paraId="2BD1BBF6" w14:textId="77777777" w:rsidR="0095067E" w:rsidRPr="00076CFD" w:rsidRDefault="0095067E">
      <w:pPr>
        <w:pStyle w:val="EndnoteText"/>
        <w:rPr>
          <w:rFonts w:cstheme="minorHAnsi"/>
          <w:sz w:val="22"/>
          <w:szCs w:val="22"/>
        </w:rPr>
      </w:pPr>
    </w:p>
  </w:endnote>
  <w:endnote w:id="29">
    <w:p w14:paraId="66959773" w14:textId="6758E9C3" w:rsidR="007D4E0D" w:rsidRPr="00076CFD" w:rsidRDefault="007D4E0D" w:rsidP="007D4E0D">
      <w:pPr>
        <w:pStyle w:val="PlainText"/>
        <w:spacing w:line="276" w:lineRule="auto"/>
        <w:rPr>
          <w:rFonts w:asciiTheme="minorHAnsi" w:hAnsiTheme="minorHAnsi" w:cstheme="minorHAnsi"/>
          <w:noProof/>
          <w:szCs w:val="22"/>
        </w:rPr>
      </w:pPr>
      <w:r w:rsidRPr="00076CFD">
        <w:rPr>
          <w:rStyle w:val="EndnoteReference"/>
          <w:rFonts w:asciiTheme="minorHAnsi" w:hAnsiTheme="minorHAnsi" w:cstheme="minorHAnsi"/>
          <w:szCs w:val="22"/>
          <w:vertAlign w:val="baseline"/>
        </w:rPr>
        <w:endnoteRef/>
      </w:r>
      <w:r w:rsidR="00076CFD">
        <w:rPr>
          <w:rFonts w:asciiTheme="minorHAnsi" w:hAnsiTheme="minorHAnsi" w:cstheme="minorHAnsi"/>
          <w:szCs w:val="22"/>
        </w:rPr>
        <w:t>.</w:t>
      </w:r>
      <w:r w:rsidRPr="00076CFD">
        <w:rPr>
          <w:rFonts w:asciiTheme="minorHAnsi" w:hAnsiTheme="minorHAnsi" w:cstheme="minorHAnsi"/>
          <w:szCs w:val="22"/>
        </w:rPr>
        <w:t xml:space="preserve"> </w:t>
      </w:r>
      <w:r w:rsidRPr="00076CFD">
        <w:rPr>
          <w:rFonts w:asciiTheme="minorHAnsi" w:hAnsiTheme="minorHAnsi" w:cstheme="minorHAnsi"/>
          <w:noProof/>
          <w:szCs w:val="22"/>
        </w:rPr>
        <w:t>Office for National Statistics. Exploring the UK’s Digital Divide. https://www.ons.gov.uk/peoplepopulationandcommunity/householdcharacteristics/homeinternetandsocialmediausage/articles/exploringtheuksdigitaldivide/2019-03-04. Last Accessed 12/04/20</w:t>
      </w:r>
    </w:p>
    <w:p w14:paraId="3B702E6C" w14:textId="13DFFABC" w:rsidR="007D4E0D" w:rsidRPr="00076CFD" w:rsidRDefault="007D4E0D">
      <w:pPr>
        <w:pStyle w:val="EndnoteText"/>
        <w:rPr>
          <w:rFonts w:cstheme="minorHAnsi"/>
          <w:sz w:val="22"/>
          <w:szCs w:val="22"/>
        </w:rPr>
      </w:pPr>
    </w:p>
  </w:endnote>
  <w:endnote w:id="30">
    <w:p w14:paraId="47C94B20" w14:textId="2C417CAE" w:rsidR="00102A06" w:rsidRPr="00FE1C11" w:rsidRDefault="00102A06" w:rsidP="00102A06">
      <w:pPr>
        <w:pStyle w:val="PlainText"/>
        <w:spacing w:line="276" w:lineRule="auto"/>
        <w:rPr>
          <w:rFonts w:asciiTheme="minorHAnsi" w:hAnsiTheme="minorHAnsi" w:cstheme="minorHAnsi"/>
          <w:noProof/>
          <w:szCs w:val="22"/>
        </w:rPr>
      </w:pPr>
      <w:r w:rsidRPr="00076CFD">
        <w:rPr>
          <w:rStyle w:val="EndnoteReference"/>
          <w:rFonts w:asciiTheme="minorHAnsi" w:hAnsiTheme="minorHAnsi" w:cstheme="minorHAnsi"/>
          <w:szCs w:val="22"/>
          <w:vertAlign w:val="baseline"/>
        </w:rPr>
        <w:endnoteRef/>
      </w:r>
      <w:r w:rsidR="00076CFD">
        <w:rPr>
          <w:rFonts w:asciiTheme="minorHAnsi" w:hAnsiTheme="minorHAnsi" w:cstheme="minorHAnsi"/>
          <w:szCs w:val="22"/>
        </w:rPr>
        <w:t>.</w:t>
      </w:r>
      <w:r w:rsidRPr="00076CFD">
        <w:rPr>
          <w:rFonts w:asciiTheme="minorHAnsi" w:hAnsiTheme="minorHAnsi" w:cstheme="minorHAnsi"/>
          <w:szCs w:val="22"/>
        </w:rPr>
        <w:t xml:space="preserve"> </w:t>
      </w:r>
      <w:r w:rsidRPr="00076CFD">
        <w:rPr>
          <w:rFonts w:asciiTheme="minorHAnsi" w:hAnsiTheme="minorHAnsi" w:cstheme="minorHAnsi"/>
          <w:noProof/>
          <w:szCs w:val="22"/>
        </w:rPr>
        <w:t xml:space="preserve">NHS England. </w:t>
      </w:r>
      <w:r w:rsidRPr="00076CFD">
        <w:rPr>
          <w:rFonts w:asciiTheme="minorHAnsi" w:hAnsiTheme="minorHAnsi" w:cstheme="minorHAnsi"/>
          <w:szCs w:val="22"/>
        </w:rPr>
        <w:t xml:space="preserve">Pulse oximetry to detect early deterioration of patients with COVID-19 in primary and community care settings. </w:t>
      </w:r>
      <w:hyperlink r:id="rId9" w:history="1">
        <w:r w:rsidRPr="00076CFD">
          <w:rPr>
            <w:rStyle w:val="Hyperlink"/>
            <w:rFonts w:asciiTheme="minorHAnsi" w:hAnsiTheme="minorHAnsi" w:cstheme="minorHAnsi"/>
            <w:color w:val="auto"/>
            <w:szCs w:val="22"/>
          </w:rPr>
          <w:t>https://www.england.nhs.uk/coronavirus/wp-content/uploads/sites/52/2020/06/C0445-remote-monitoring-in-primary-care.pdf</w:t>
        </w:r>
      </w:hyperlink>
      <w:r w:rsidRPr="00076CFD">
        <w:rPr>
          <w:rFonts w:asciiTheme="minorHAnsi" w:hAnsiTheme="minorHAnsi" w:cstheme="minorHAnsi"/>
          <w:szCs w:val="22"/>
        </w:rPr>
        <w:t xml:space="preserve"> </w:t>
      </w:r>
      <w:r w:rsidRPr="00076CFD">
        <w:rPr>
          <w:rFonts w:asciiTheme="minorHAnsi" w:hAnsiTheme="minorHAnsi" w:cstheme="minorHAnsi"/>
          <w:noProof/>
          <w:szCs w:val="22"/>
        </w:rPr>
        <w:t xml:space="preserve">Last accessed </w:t>
      </w:r>
      <w:r w:rsidRPr="00FE1C11">
        <w:rPr>
          <w:rFonts w:asciiTheme="minorHAnsi" w:hAnsiTheme="minorHAnsi" w:cstheme="minorHAnsi"/>
          <w:noProof/>
          <w:szCs w:val="22"/>
        </w:rPr>
        <w:t>21/06/20</w:t>
      </w:r>
    </w:p>
    <w:p w14:paraId="638360FA" w14:textId="1053F3C1" w:rsidR="00102A06" w:rsidRPr="00FE1C11" w:rsidRDefault="00102A06">
      <w:pPr>
        <w:pStyle w:val="EndnoteText"/>
        <w:rPr>
          <w:rFonts w:cstheme="minorHAnsi"/>
          <w:sz w:val="22"/>
          <w:szCs w:val="22"/>
        </w:rPr>
      </w:pPr>
    </w:p>
  </w:endnote>
  <w:endnote w:id="31">
    <w:p w14:paraId="07532206" w14:textId="7D9D7FC0" w:rsidR="00D648DC" w:rsidRPr="00FE1C11" w:rsidRDefault="00D648DC">
      <w:pPr>
        <w:pStyle w:val="EndnoteText"/>
        <w:rPr>
          <w:sz w:val="22"/>
          <w:szCs w:val="22"/>
        </w:rPr>
      </w:pPr>
      <w:r w:rsidRPr="00FE1C11">
        <w:rPr>
          <w:rStyle w:val="EndnoteReference"/>
          <w:sz w:val="22"/>
          <w:szCs w:val="22"/>
          <w:vertAlign w:val="baseline"/>
        </w:rPr>
        <w:endnoteRef/>
      </w:r>
      <w:r w:rsidRPr="00FE1C11">
        <w:rPr>
          <w:sz w:val="22"/>
          <w:szCs w:val="22"/>
        </w:rPr>
        <w:t xml:space="preserve">. COVID-19 Medical Risk Assessment </w:t>
      </w:r>
      <w:hyperlink r:id="rId10" w:history="1">
        <w:r w:rsidRPr="00FE1C11">
          <w:rPr>
            <w:rStyle w:val="Hyperlink"/>
            <w:sz w:val="22"/>
            <w:szCs w:val="22"/>
          </w:rPr>
          <w:t>https://alama.org.uk/covid-19-medical-risk-assessment/</w:t>
        </w:r>
      </w:hyperlink>
    </w:p>
    <w:p w14:paraId="6A519B0F" w14:textId="77777777" w:rsidR="00D648DC" w:rsidRPr="00FE1C11" w:rsidRDefault="00D648DC">
      <w:pPr>
        <w:pStyle w:val="EndnoteText"/>
        <w:rPr>
          <w:sz w:val="22"/>
          <w:szCs w:val="22"/>
        </w:rPr>
      </w:pPr>
    </w:p>
  </w:endnote>
  <w:endnote w:id="32">
    <w:p w14:paraId="2274DCCD" w14:textId="4BE9B67C" w:rsidR="00D648DC" w:rsidRPr="00FE1C11" w:rsidRDefault="00D648DC" w:rsidP="00D648DC">
      <w:pPr>
        <w:autoSpaceDE w:val="0"/>
        <w:autoSpaceDN w:val="0"/>
        <w:adjustRightInd w:val="0"/>
        <w:rPr>
          <w:rFonts w:cstheme="minorHAnsi"/>
        </w:rPr>
      </w:pPr>
      <w:r w:rsidRPr="00FE1C11">
        <w:rPr>
          <w:rStyle w:val="EndnoteReference"/>
          <w:vertAlign w:val="baseline"/>
        </w:rPr>
        <w:endnoteRef/>
      </w:r>
      <w:r w:rsidRPr="00FE1C11">
        <w:t xml:space="preserve">. </w:t>
      </w:r>
      <w:r w:rsidRPr="00FE1C11">
        <w:rPr>
          <w:rFonts w:cstheme="minorHAnsi"/>
        </w:rPr>
        <w:t xml:space="preserve">Clift AK, Coupland CAC, Keogh RK et al Living risk prediction algorithm (QCOVID) for risk of hospital admission and mortality from coronavirus 19 in adults: national derivation and validation cohort study. </w:t>
      </w:r>
      <w:r w:rsidRPr="00FE1C11">
        <w:rPr>
          <w:rFonts w:cstheme="minorHAnsi"/>
          <w:i/>
          <w:iCs/>
        </w:rPr>
        <w:t xml:space="preserve">BMJ </w:t>
      </w:r>
      <w:r w:rsidRPr="00FE1C11">
        <w:rPr>
          <w:rFonts w:cstheme="minorHAnsi"/>
        </w:rPr>
        <w:t>2020;371:m3731</w:t>
      </w:r>
    </w:p>
    <w:p w14:paraId="2BA2E162" w14:textId="78476522" w:rsidR="00D648DC" w:rsidRPr="00FE1C11" w:rsidRDefault="00D648DC">
      <w:pPr>
        <w:pStyle w:val="EndnoteText"/>
      </w:pPr>
    </w:p>
  </w:endnote>
  <w:endnote w:id="33">
    <w:p w14:paraId="03DA791F" w14:textId="77777777" w:rsidR="006C781C" w:rsidRPr="00FE1C11" w:rsidRDefault="006C781C" w:rsidP="006C781C">
      <w:pPr>
        <w:pStyle w:val="PlainText"/>
        <w:spacing w:line="276" w:lineRule="auto"/>
        <w:rPr>
          <w:rFonts w:asciiTheme="minorHAnsi" w:hAnsiTheme="minorHAnsi" w:cstheme="minorHAnsi"/>
          <w:noProof/>
          <w:szCs w:val="22"/>
        </w:rPr>
      </w:pPr>
      <w:r w:rsidRPr="00FE1C11">
        <w:rPr>
          <w:rStyle w:val="EndnoteReference"/>
          <w:rFonts w:asciiTheme="minorHAnsi" w:hAnsiTheme="minorHAnsi" w:cstheme="minorHAnsi"/>
          <w:szCs w:val="22"/>
          <w:vertAlign w:val="baseline"/>
        </w:rPr>
        <w:endnoteRef/>
      </w:r>
      <w:r w:rsidRPr="00FE1C11">
        <w:rPr>
          <w:rFonts w:asciiTheme="minorHAnsi" w:hAnsiTheme="minorHAnsi" w:cstheme="minorHAnsi"/>
          <w:szCs w:val="22"/>
        </w:rPr>
        <w:t xml:space="preserve">. </w:t>
      </w:r>
      <w:r w:rsidRPr="00FE1C11">
        <w:rPr>
          <w:rFonts w:asciiTheme="minorHAnsi" w:hAnsiTheme="minorHAnsi" w:cstheme="minorHAnsi"/>
          <w:noProof/>
          <w:szCs w:val="22"/>
        </w:rPr>
        <w:t>Woollard, M. and Greaves, I. Shortness of breath. Emergency Medicine Journal, 21(3), 341-350, doi: 10.1136/emj.2004.014878 PMID: 15107381</w:t>
      </w:r>
    </w:p>
    <w:p w14:paraId="6F65584D" w14:textId="77777777" w:rsidR="006C781C" w:rsidRPr="00FE1C11" w:rsidRDefault="006C781C" w:rsidP="006C781C">
      <w:pPr>
        <w:pStyle w:val="EndnoteText"/>
        <w:rPr>
          <w:rFonts w:cstheme="minorHAnsi"/>
          <w:sz w:val="22"/>
          <w:szCs w:val="22"/>
        </w:rPr>
      </w:pPr>
    </w:p>
  </w:endnote>
  <w:endnote w:id="34">
    <w:p w14:paraId="1DF96B19" w14:textId="77777777" w:rsidR="006C781C" w:rsidRPr="00FE1C11" w:rsidRDefault="006C781C" w:rsidP="006C781C">
      <w:pPr>
        <w:pStyle w:val="EndnoteText"/>
        <w:rPr>
          <w:rFonts w:cstheme="minorHAnsi"/>
          <w:sz w:val="22"/>
          <w:szCs w:val="22"/>
          <w:shd w:val="clear" w:color="auto" w:fill="FFFFFF"/>
        </w:rPr>
      </w:pPr>
      <w:r w:rsidRPr="00FE1C11">
        <w:rPr>
          <w:rStyle w:val="EndnoteReference"/>
          <w:rFonts w:cstheme="minorHAnsi"/>
          <w:sz w:val="22"/>
          <w:szCs w:val="22"/>
          <w:vertAlign w:val="baseline"/>
        </w:rPr>
        <w:endnoteRef/>
      </w:r>
      <w:r w:rsidRPr="00FE1C11">
        <w:rPr>
          <w:rFonts w:cstheme="minorHAnsi"/>
          <w:sz w:val="22"/>
          <w:szCs w:val="22"/>
        </w:rPr>
        <w:t xml:space="preserve">. </w:t>
      </w:r>
      <w:r w:rsidRPr="00FE1C11">
        <w:rPr>
          <w:rFonts w:cstheme="minorHAnsi"/>
          <w:sz w:val="22"/>
          <w:szCs w:val="22"/>
          <w:shd w:val="clear" w:color="auto" w:fill="FFFFFF"/>
        </w:rPr>
        <w:t xml:space="preserve">Quinn T, Craven T, Dockrell D, Walsh T, Guthrie B, McKinstry B, Dhaliwal K. </w:t>
      </w:r>
      <w:hyperlink r:id="rId11" w:history="1">
        <w:r w:rsidRPr="00FE1C11">
          <w:rPr>
            <w:rStyle w:val="Hyperlink"/>
            <w:rFonts w:cstheme="minorHAnsi"/>
            <w:sz w:val="22"/>
            <w:szCs w:val="22"/>
            <w:shd w:val="clear" w:color="auto" w:fill="FFFFFF"/>
          </w:rPr>
          <w:t>https://blogs.bmj.com/bmj/2020/06/12/identifying-severe-cases-of-covid-19-in-the-community/</w:t>
        </w:r>
      </w:hyperlink>
    </w:p>
    <w:p w14:paraId="048E71EE" w14:textId="77777777" w:rsidR="006C781C" w:rsidRPr="00FE1C11" w:rsidRDefault="006C781C" w:rsidP="006C781C">
      <w:pPr>
        <w:pStyle w:val="EndnoteText"/>
        <w:rPr>
          <w:rFonts w:cstheme="minorHAnsi"/>
          <w:sz w:val="22"/>
          <w:szCs w:val="22"/>
        </w:rPr>
      </w:pPr>
    </w:p>
  </w:endnote>
  <w:endnote w:id="35">
    <w:p w14:paraId="1CB7A7AB" w14:textId="78098706" w:rsidR="0095067E" w:rsidRPr="00FE1C11" w:rsidRDefault="0095067E">
      <w:pPr>
        <w:pStyle w:val="EndnoteText"/>
        <w:rPr>
          <w:sz w:val="22"/>
          <w:szCs w:val="22"/>
        </w:rPr>
      </w:pPr>
      <w:r w:rsidRPr="00FE1C11">
        <w:rPr>
          <w:rStyle w:val="EndnoteReference"/>
          <w:sz w:val="22"/>
          <w:szCs w:val="22"/>
          <w:vertAlign w:val="baseline"/>
        </w:rPr>
        <w:endnoteRef/>
      </w:r>
      <w:r w:rsidR="00FE1C11">
        <w:rPr>
          <w:sz w:val="22"/>
          <w:szCs w:val="22"/>
        </w:rPr>
        <w:t>.</w:t>
      </w:r>
      <w:r w:rsidRPr="00FE1C11">
        <w:rPr>
          <w:sz w:val="22"/>
          <w:szCs w:val="22"/>
        </w:rPr>
        <w:t xml:space="preserve"> </w:t>
      </w:r>
      <w:r w:rsidRPr="00FE1C11">
        <w:rPr>
          <w:noProof/>
          <w:sz w:val="22"/>
          <w:szCs w:val="22"/>
        </w:rPr>
        <w:t>Orchard P, Agakova A, Pinnock H et al. Improving Prediction of Risk of Hospital Admission in Chronic Obstructive Pulmonary Disease: Application of Machine Learning to Telemonitoring Data. J Med Internet Res. 2018;20(9):e263. doi: 10.2196/jmir.9227. PMID: 30249589</w:t>
      </w:r>
      <w:r w:rsidR="00FE1C11" w:rsidRPr="00FE1C11">
        <w:rPr>
          <w:noProof/>
          <w:sz w:val="22"/>
          <w:szCs w:val="22"/>
        </w:rPr>
        <w:br/>
      </w:r>
    </w:p>
  </w:endnote>
  <w:endnote w:id="36">
    <w:p w14:paraId="244311D9" w14:textId="77777777" w:rsidR="00FE1C11" w:rsidRPr="00FE1C11" w:rsidRDefault="00FE1C11" w:rsidP="00FE1C11">
      <w:pPr>
        <w:pStyle w:val="EndnoteText"/>
        <w:rPr>
          <w:rFonts w:cstheme="minorHAnsi"/>
          <w:color w:val="212121"/>
          <w:sz w:val="22"/>
          <w:szCs w:val="22"/>
          <w:shd w:val="clear" w:color="auto" w:fill="FFFFFF"/>
        </w:rPr>
      </w:pPr>
      <w:r w:rsidRPr="00FE1C11">
        <w:rPr>
          <w:rStyle w:val="EndnoteReference"/>
          <w:sz w:val="22"/>
          <w:szCs w:val="22"/>
          <w:vertAlign w:val="baseline"/>
        </w:rPr>
        <w:endnoteRef/>
      </w:r>
      <w:r w:rsidRPr="00FE1C11">
        <w:rPr>
          <w:rFonts w:cstheme="minorHAnsi"/>
          <w:sz w:val="22"/>
          <w:szCs w:val="22"/>
        </w:rPr>
        <w:t xml:space="preserve">. </w:t>
      </w:r>
      <w:proofErr w:type="spellStart"/>
      <w:r w:rsidRPr="00FE1C11">
        <w:rPr>
          <w:rFonts w:cstheme="minorHAnsi"/>
          <w:color w:val="212121"/>
          <w:sz w:val="22"/>
          <w:szCs w:val="22"/>
          <w:shd w:val="clear" w:color="auto" w:fill="FFFFFF"/>
        </w:rPr>
        <w:t>Somani</w:t>
      </w:r>
      <w:proofErr w:type="spellEnd"/>
      <w:r w:rsidRPr="00FE1C11">
        <w:rPr>
          <w:rFonts w:cstheme="minorHAnsi"/>
          <w:color w:val="212121"/>
          <w:sz w:val="22"/>
          <w:szCs w:val="22"/>
          <w:shd w:val="clear" w:color="auto" w:fill="FFFFFF"/>
        </w:rPr>
        <w:t xml:space="preserve"> S, Richter F, </w:t>
      </w:r>
      <w:proofErr w:type="spellStart"/>
      <w:r w:rsidRPr="00FE1C11">
        <w:rPr>
          <w:rFonts w:cstheme="minorHAnsi"/>
          <w:color w:val="212121"/>
          <w:sz w:val="22"/>
          <w:szCs w:val="22"/>
          <w:shd w:val="clear" w:color="auto" w:fill="FFFFFF"/>
        </w:rPr>
        <w:t>Fuster</w:t>
      </w:r>
      <w:proofErr w:type="spellEnd"/>
      <w:r w:rsidRPr="00FE1C11">
        <w:rPr>
          <w:rFonts w:cstheme="minorHAnsi"/>
          <w:color w:val="212121"/>
          <w:sz w:val="22"/>
          <w:szCs w:val="22"/>
          <w:shd w:val="clear" w:color="auto" w:fill="FFFFFF"/>
        </w:rPr>
        <w:t xml:space="preserve"> V, De Freitas J, Naik N, Sigel K, </w:t>
      </w:r>
      <w:proofErr w:type="spellStart"/>
      <w:r w:rsidRPr="00FE1C11">
        <w:rPr>
          <w:rFonts w:cstheme="minorHAnsi"/>
          <w:color w:val="212121"/>
          <w:sz w:val="22"/>
          <w:szCs w:val="22"/>
          <w:shd w:val="clear" w:color="auto" w:fill="FFFFFF"/>
        </w:rPr>
        <w:t>Boettinger</w:t>
      </w:r>
      <w:proofErr w:type="spellEnd"/>
      <w:r w:rsidRPr="00FE1C11">
        <w:rPr>
          <w:rFonts w:cstheme="minorHAnsi"/>
          <w:color w:val="212121"/>
          <w:sz w:val="22"/>
          <w:szCs w:val="22"/>
          <w:shd w:val="clear" w:color="auto" w:fill="FFFFFF"/>
        </w:rPr>
        <w:t xml:space="preserve"> EP, Levin MA, </w:t>
      </w:r>
      <w:proofErr w:type="spellStart"/>
      <w:r w:rsidRPr="00FE1C11">
        <w:rPr>
          <w:rFonts w:cstheme="minorHAnsi"/>
          <w:color w:val="212121"/>
          <w:sz w:val="22"/>
          <w:szCs w:val="22"/>
          <w:shd w:val="clear" w:color="auto" w:fill="FFFFFF"/>
        </w:rPr>
        <w:t>Fayad</w:t>
      </w:r>
      <w:proofErr w:type="spellEnd"/>
      <w:r w:rsidRPr="00FE1C11">
        <w:rPr>
          <w:rFonts w:cstheme="minorHAnsi"/>
          <w:color w:val="212121"/>
          <w:sz w:val="22"/>
          <w:szCs w:val="22"/>
          <w:shd w:val="clear" w:color="auto" w:fill="FFFFFF"/>
        </w:rPr>
        <w:t xml:space="preserve"> Z, Just AC, Charney A, Zhao S, </w:t>
      </w:r>
      <w:proofErr w:type="spellStart"/>
      <w:r w:rsidRPr="00FE1C11">
        <w:rPr>
          <w:rFonts w:cstheme="minorHAnsi"/>
          <w:color w:val="212121"/>
          <w:sz w:val="22"/>
          <w:szCs w:val="22"/>
          <w:shd w:val="clear" w:color="auto" w:fill="FFFFFF"/>
        </w:rPr>
        <w:t>Glicksberg</w:t>
      </w:r>
      <w:proofErr w:type="spellEnd"/>
      <w:r w:rsidRPr="00FE1C11">
        <w:rPr>
          <w:rFonts w:cstheme="minorHAnsi"/>
          <w:color w:val="212121"/>
          <w:sz w:val="22"/>
          <w:szCs w:val="22"/>
          <w:shd w:val="clear" w:color="auto" w:fill="FFFFFF"/>
        </w:rPr>
        <w:t xml:space="preserve"> BS, Lala A, Nadkarni G. Characterization of Patients Who Return to Hospital Following Discharge from Hospitalization For COVID-19. </w:t>
      </w:r>
      <w:proofErr w:type="spellStart"/>
      <w:r w:rsidRPr="00FE1C11">
        <w:rPr>
          <w:rFonts w:cstheme="minorHAnsi"/>
          <w:color w:val="212121"/>
          <w:sz w:val="22"/>
          <w:szCs w:val="22"/>
          <w:shd w:val="clear" w:color="auto" w:fill="FFFFFF"/>
        </w:rPr>
        <w:t>medRxiv</w:t>
      </w:r>
      <w:proofErr w:type="spellEnd"/>
      <w:r w:rsidRPr="00FE1C11">
        <w:rPr>
          <w:rFonts w:cstheme="minorHAnsi"/>
          <w:color w:val="212121"/>
          <w:sz w:val="22"/>
          <w:szCs w:val="22"/>
          <w:shd w:val="clear" w:color="auto" w:fill="FFFFFF"/>
        </w:rPr>
        <w:t xml:space="preserve"> [Preprint]. 2020 May 22:2020.05.17.20104604. </w:t>
      </w:r>
      <w:proofErr w:type="spellStart"/>
      <w:r w:rsidRPr="00FE1C11">
        <w:rPr>
          <w:rFonts w:cstheme="minorHAnsi"/>
          <w:color w:val="212121"/>
          <w:sz w:val="22"/>
          <w:szCs w:val="22"/>
          <w:shd w:val="clear" w:color="auto" w:fill="FFFFFF"/>
        </w:rPr>
        <w:t>doi</w:t>
      </w:r>
      <w:proofErr w:type="spellEnd"/>
      <w:r w:rsidRPr="00FE1C11">
        <w:rPr>
          <w:rFonts w:cstheme="minorHAnsi"/>
          <w:color w:val="212121"/>
          <w:sz w:val="22"/>
          <w:szCs w:val="22"/>
          <w:shd w:val="clear" w:color="auto" w:fill="FFFFFF"/>
        </w:rPr>
        <w:t xml:space="preserve">: 10.1101/2020.05.17.20104604. Update in: J Gen Intern Med. 2020 Aug </w:t>
      </w:r>
      <w:proofErr w:type="gramStart"/>
      <w:r w:rsidRPr="00FE1C11">
        <w:rPr>
          <w:rFonts w:cstheme="minorHAnsi"/>
          <w:color w:val="212121"/>
          <w:sz w:val="22"/>
          <w:szCs w:val="22"/>
          <w:shd w:val="clear" w:color="auto" w:fill="FFFFFF"/>
        </w:rPr>
        <w:t>19;:</w:t>
      </w:r>
      <w:proofErr w:type="gramEnd"/>
      <w:r w:rsidRPr="00FE1C11">
        <w:rPr>
          <w:rFonts w:cstheme="minorHAnsi"/>
          <w:color w:val="212121"/>
          <w:sz w:val="22"/>
          <w:szCs w:val="22"/>
          <w:shd w:val="clear" w:color="auto" w:fill="FFFFFF"/>
        </w:rPr>
        <w:t xml:space="preserve"> PMID: 32511547; PMCID: PMC7274228.</w:t>
      </w:r>
    </w:p>
    <w:p w14:paraId="3C108AEC" w14:textId="77777777" w:rsidR="00FE1C11" w:rsidRPr="00FE1C11" w:rsidRDefault="00FE1C11" w:rsidP="00FE1C11">
      <w:pPr>
        <w:pStyle w:val="EndnoteText"/>
        <w:rPr>
          <w:rFonts w:cstheme="minorHAnsi"/>
          <w:sz w:val="22"/>
          <w:szCs w:val="22"/>
        </w:rPr>
      </w:pPr>
    </w:p>
  </w:endnote>
  <w:endnote w:id="37">
    <w:p w14:paraId="61AE5873" w14:textId="77777777" w:rsidR="00FE1C11" w:rsidRPr="00FE1C11" w:rsidRDefault="00FE1C11" w:rsidP="00FE1C11">
      <w:pPr>
        <w:pStyle w:val="EndnoteText"/>
        <w:rPr>
          <w:rFonts w:cstheme="minorHAnsi"/>
          <w:color w:val="212121"/>
          <w:sz w:val="22"/>
          <w:szCs w:val="22"/>
          <w:shd w:val="clear" w:color="auto" w:fill="FFFFFF"/>
        </w:rPr>
      </w:pPr>
      <w:r w:rsidRPr="00FE1C11">
        <w:rPr>
          <w:rStyle w:val="EndnoteReference"/>
          <w:sz w:val="22"/>
          <w:szCs w:val="22"/>
          <w:vertAlign w:val="baseline"/>
        </w:rPr>
        <w:endnoteRef/>
      </w:r>
      <w:r w:rsidRPr="00FE1C11">
        <w:rPr>
          <w:rFonts w:cstheme="minorHAnsi"/>
          <w:sz w:val="22"/>
          <w:szCs w:val="22"/>
        </w:rPr>
        <w:t xml:space="preserve">. </w:t>
      </w:r>
      <w:r w:rsidRPr="00FE1C11">
        <w:rPr>
          <w:rFonts w:cstheme="minorHAnsi"/>
          <w:color w:val="212121"/>
          <w:sz w:val="22"/>
          <w:szCs w:val="22"/>
          <w:shd w:val="clear" w:color="auto" w:fill="FFFFFF"/>
        </w:rPr>
        <w:t xml:space="preserve">Donnelly JP, Wang XQ, </w:t>
      </w:r>
      <w:proofErr w:type="spellStart"/>
      <w:r w:rsidRPr="00FE1C11">
        <w:rPr>
          <w:rFonts w:cstheme="minorHAnsi"/>
          <w:color w:val="212121"/>
          <w:sz w:val="22"/>
          <w:szCs w:val="22"/>
          <w:shd w:val="clear" w:color="auto" w:fill="FFFFFF"/>
        </w:rPr>
        <w:t>Iwashyna</w:t>
      </w:r>
      <w:proofErr w:type="spellEnd"/>
      <w:r w:rsidRPr="00FE1C11">
        <w:rPr>
          <w:rFonts w:cstheme="minorHAnsi"/>
          <w:color w:val="212121"/>
          <w:sz w:val="22"/>
          <w:szCs w:val="22"/>
          <w:shd w:val="clear" w:color="auto" w:fill="FFFFFF"/>
        </w:rPr>
        <w:t xml:space="preserve"> TJ, Prescott HC. Readmission and Death After Initial Hospital Discharge Among Patients With COVID-19 in a Large Multihospital System. JAMA. 2020 Dec </w:t>
      </w:r>
      <w:proofErr w:type="gramStart"/>
      <w:r w:rsidRPr="00FE1C11">
        <w:rPr>
          <w:rFonts w:cstheme="minorHAnsi"/>
          <w:color w:val="212121"/>
          <w:sz w:val="22"/>
          <w:szCs w:val="22"/>
          <w:shd w:val="clear" w:color="auto" w:fill="FFFFFF"/>
        </w:rPr>
        <w:t>14:e</w:t>
      </w:r>
      <w:proofErr w:type="gramEnd"/>
      <w:r w:rsidRPr="00FE1C11">
        <w:rPr>
          <w:rFonts w:cstheme="minorHAnsi"/>
          <w:color w:val="212121"/>
          <w:sz w:val="22"/>
          <w:szCs w:val="22"/>
          <w:shd w:val="clear" w:color="auto" w:fill="FFFFFF"/>
        </w:rPr>
        <w:t xml:space="preserve">2021465. </w:t>
      </w:r>
      <w:proofErr w:type="spellStart"/>
      <w:r w:rsidRPr="00FE1C11">
        <w:rPr>
          <w:rFonts w:cstheme="minorHAnsi"/>
          <w:color w:val="212121"/>
          <w:sz w:val="22"/>
          <w:szCs w:val="22"/>
          <w:shd w:val="clear" w:color="auto" w:fill="FFFFFF"/>
        </w:rPr>
        <w:t>doi</w:t>
      </w:r>
      <w:proofErr w:type="spellEnd"/>
      <w:r w:rsidRPr="00FE1C11">
        <w:rPr>
          <w:rFonts w:cstheme="minorHAnsi"/>
          <w:color w:val="212121"/>
          <w:sz w:val="22"/>
          <w:szCs w:val="22"/>
          <w:shd w:val="clear" w:color="auto" w:fill="FFFFFF"/>
        </w:rPr>
        <w:t xml:space="preserve">: 10.1001/jama.2020.21465. </w:t>
      </w:r>
      <w:proofErr w:type="spellStart"/>
      <w:r w:rsidRPr="00FE1C11">
        <w:rPr>
          <w:rFonts w:cstheme="minorHAnsi"/>
          <w:color w:val="212121"/>
          <w:sz w:val="22"/>
          <w:szCs w:val="22"/>
          <w:shd w:val="clear" w:color="auto" w:fill="FFFFFF"/>
        </w:rPr>
        <w:t>Epub</w:t>
      </w:r>
      <w:proofErr w:type="spellEnd"/>
      <w:r w:rsidRPr="00FE1C11">
        <w:rPr>
          <w:rFonts w:cstheme="minorHAnsi"/>
          <w:color w:val="212121"/>
          <w:sz w:val="22"/>
          <w:szCs w:val="22"/>
          <w:shd w:val="clear" w:color="auto" w:fill="FFFFFF"/>
        </w:rPr>
        <w:t xml:space="preserve"> ahead of print. PMID: 33315057; PMCID: PMC7737131.</w:t>
      </w:r>
    </w:p>
    <w:p w14:paraId="78841003" w14:textId="77777777" w:rsidR="00FE1C11" w:rsidRPr="00FE1C11" w:rsidRDefault="00FE1C11" w:rsidP="00FE1C11">
      <w:pPr>
        <w:pStyle w:val="EndnoteText"/>
        <w:rPr>
          <w:rFonts w:cstheme="minorHAnsi"/>
          <w:sz w:val="22"/>
          <w:szCs w:val="22"/>
        </w:rPr>
      </w:pPr>
    </w:p>
  </w:endnote>
  <w:endnote w:id="38">
    <w:p w14:paraId="7D6733EE" w14:textId="77777777" w:rsidR="00FE1C11" w:rsidRPr="00FE1C11" w:rsidRDefault="00FE1C11" w:rsidP="00FE1C11">
      <w:pPr>
        <w:pStyle w:val="EndnoteText"/>
        <w:rPr>
          <w:rStyle w:val="Hyperlink"/>
          <w:sz w:val="22"/>
          <w:szCs w:val="22"/>
        </w:rPr>
      </w:pPr>
      <w:r w:rsidRPr="00FE1C11">
        <w:rPr>
          <w:rStyle w:val="EndnoteReference"/>
          <w:sz w:val="22"/>
          <w:szCs w:val="22"/>
          <w:vertAlign w:val="baseline"/>
        </w:rPr>
        <w:endnoteRef/>
      </w:r>
      <w:r w:rsidRPr="00FE1C11">
        <w:rPr>
          <w:rFonts w:cstheme="minorHAnsi"/>
          <w:sz w:val="22"/>
          <w:szCs w:val="22"/>
        </w:rPr>
        <w:t xml:space="preserve">. Lavery Am, </w:t>
      </w:r>
      <w:proofErr w:type="spellStart"/>
      <w:r w:rsidRPr="00FE1C11">
        <w:rPr>
          <w:rFonts w:cstheme="minorHAnsi"/>
          <w:sz w:val="22"/>
          <w:szCs w:val="22"/>
        </w:rPr>
        <w:t>Preson</w:t>
      </w:r>
      <w:proofErr w:type="spellEnd"/>
      <w:r w:rsidRPr="00FE1C11">
        <w:rPr>
          <w:rFonts w:cstheme="minorHAnsi"/>
          <w:sz w:val="22"/>
          <w:szCs w:val="22"/>
        </w:rPr>
        <w:t xml:space="preserve"> LE, Kho JY, </w:t>
      </w:r>
      <w:proofErr w:type="spellStart"/>
      <w:r w:rsidRPr="00FE1C11">
        <w:rPr>
          <w:rFonts w:cstheme="minorHAnsi"/>
          <w:sz w:val="22"/>
          <w:szCs w:val="22"/>
        </w:rPr>
        <w:t>Chevinsky</w:t>
      </w:r>
      <w:proofErr w:type="spellEnd"/>
      <w:r w:rsidRPr="00FE1C11">
        <w:rPr>
          <w:rFonts w:cstheme="minorHAnsi"/>
          <w:sz w:val="22"/>
          <w:szCs w:val="22"/>
        </w:rPr>
        <w:t xml:space="preserve"> JR, </w:t>
      </w:r>
      <w:proofErr w:type="spellStart"/>
      <w:r w:rsidRPr="00FE1C11">
        <w:rPr>
          <w:rFonts w:cstheme="minorHAnsi"/>
          <w:sz w:val="22"/>
          <w:szCs w:val="22"/>
        </w:rPr>
        <w:t>DeSisto</w:t>
      </w:r>
      <w:proofErr w:type="spellEnd"/>
      <w:r w:rsidRPr="00FE1C11">
        <w:rPr>
          <w:rFonts w:cstheme="minorHAnsi"/>
          <w:sz w:val="22"/>
          <w:szCs w:val="22"/>
        </w:rPr>
        <w:t xml:space="preserve"> CL et al Characteristics of Hospitalized COVID-19 Patients Discharged and Experiencing Same-Hospital Readmission — United States, March–August 2020  CDC </w:t>
      </w:r>
      <w:hyperlink r:id="rId12" w:history="1">
        <w:r w:rsidRPr="00FE1C11">
          <w:rPr>
            <w:rStyle w:val="Hyperlink"/>
            <w:sz w:val="22"/>
            <w:szCs w:val="22"/>
          </w:rPr>
          <w:t>file:///D:/active%20research/telemedicine/COVID-19/oversight%20group%20evidence/mm6945e2-H%20lavery%20et%20al%20CDC.pdf</w:t>
        </w:r>
      </w:hyperlink>
    </w:p>
    <w:p w14:paraId="7B402094" w14:textId="77777777" w:rsidR="00FE1C11" w:rsidRPr="00FE1C11" w:rsidRDefault="00FE1C11" w:rsidP="00FE1C11">
      <w:pPr>
        <w:pStyle w:val="EndnoteText"/>
        <w:rPr>
          <w:rFonts w:cstheme="minorHAnsi"/>
          <w:sz w:val="22"/>
          <w:szCs w:val="22"/>
        </w:rPr>
      </w:pPr>
    </w:p>
  </w:endnote>
  <w:endnote w:id="39">
    <w:p w14:paraId="662EB5FD" w14:textId="77777777" w:rsidR="00FE1C11" w:rsidRPr="00FE1C11" w:rsidRDefault="00FE1C11" w:rsidP="00FE1C11">
      <w:pPr>
        <w:pStyle w:val="EndnoteText"/>
        <w:rPr>
          <w:rFonts w:cstheme="minorHAnsi"/>
          <w:color w:val="212121"/>
          <w:sz w:val="22"/>
          <w:szCs w:val="22"/>
          <w:shd w:val="clear" w:color="auto" w:fill="FFFFFF"/>
        </w:rPr>
      </w:pPr>
      <w:r w:rsidRPr="00FE1C11">
        <w:rPr>
          <w:rStyle w:val="EndnoteReference"/>
          <w:sz w:val="22"/>
          <w:szCs w:val="22"/>
          <w:vertAlign w:val="baseline"/>
        </w:rPr>
        <w:endnoteRef/>
      </w:r>
      <w:r w:rsidRPr="00FE1C11">
        <w:rPr>
          <w:rFonts w:cstheme="minorHAnsi"/>
          <w:sz w:val="22"/>
          <w:szCs w:val="22"/>
        </w:rPr>
        <w:t xml:space="preserve">. </w:t>
      </w:r>
      <w:r w:rsidRPr="00FE1C11">
        <w:rPr>
          <w:rFonts w:cstheme="minorHAnsi"/>
          <w:color w:val="212121"/>
          <w:sz w:val="22"/>
          <w:szCs w:val="22"/>
          <w:shd w:val="clear" w:color="auto" w:fill="FFFFFF"/>
        </w:rPr>
        <w:t xml:space="preserve">Parra LM, </w:t>
      </w:r>
      <w:proofErr w:type="spellStart"/>
      <w:r w:rsidRPr="00FE1C11">
        <w:rPr>
          <w:rFonts w:cstheme="minorHAnsi"/>
          <w:color w:val="212121"/>
          <w:sz w:val="22"/>
          <w:szCs w:val="22"/>
          <w:shd w:val="clear" w:color="auto" w:fill="FFFFFF"/>
        </w:rPr>
        <w:t>Cantero</w:t>
      </w:r>
      <w:proofErr w:type="spellEnd"/>
      <w:r w:rsidRPr="00FE1C11">
        <w:rPr>
          <w:rFonts w:cstheme="minorHAnsi"/>
          <w:color w:val="212121"/>
          <w:sz w:val="22"/>
          <w:szCs w:val="22"/>
          <w:shd w:val="clear" w:color="auto" w:fill="FFFFFF"/>
        </w:rPr>
        <w:t xml:space="preserve"> M, </w:t>
      </w:r>
      <w:proofErr w:type="spellStart"/>
      <w:r w:rsidRPr="00FE1C11">
        <w:rPr>
          <w:rFonts w:cstheme="minorHAnsi"/>
          <w:color w:val="212121"/>
          <w:sz w:val="22"/>
          <w:szCs w:val="22"/>
          <w:shd w:val="clear" w:color="auto" w:fill="FFFFFF"/>
        </w:rPr>
        <w:t>Morrás</w:t>
      </w:r>
      <w:proofErr w:type="spellEnd"/>
      <w:r w:rsidRPr="00FE1C11">
        <w:rPr>
          <w:rFonts w:cstheme="minorHAnsi"/>
          <w:color w:val="212121"/>
          <w:sz w:val="22"/>
          <w:szCs w:val="22"/>
          <w:shd w:val="clear" w:color="auto" w:fill="FFFFFF"/>
        </w:rPr>
        <w:t xml:space="preserve"> I, Vallejo A, Diego I, Jiménez-</w:t>
      </w:r>
      <w:proofErr w:type="spellStart"/>
      <w:r w:rsidRPr="00FE1C11">
        <w:rPr>
          <w:rFonts w:cstheme="minorHAnsi"/>
          <w:color w:val="212121"/>
          <w:sz w:val="22"/>
          <w:szCs w:val="22"/>
          <w:shd w:val="clear" w:color="auto" w:fill="FFFFFF"/>
        </w:rPr>
        <w:t>Tejero</w:t>
      </w:r>
      <w:proofErr w:type="spellEnd"/>
      <w:r w:rsidRPr="00FE1C11">
        <w:rPr>
          <w:rFonts w:cstheme="minorHAnsi"/>
          <w:color w:val="212121"/>
          <w:sz w:val="22"/>
          <w:szCs w:val="22"/>
          <w:shd w:val="clear" w:color="auto" w:fill="FFFFFF"/>
        </w:rPr>
        <w:t xml:space="preserve"> E, </w:t>
      </w:r>
      <w:proofErr w:type="spellStart"/>
      <w:r w:rsidRPr="00FE1C11">
        <w:rPr>
          <w:rFonts w:cstheme="minorHAnsi"/>
          <w:color w:val="212121"/>
          <w:sz w:val="22"/>
          <w:szCs w:val="22"/>
          <w:shd w:val="clear" w:color="auto" w:fill="FFFFFF"/>
        </w:rPr>
        <w:t>Múñez</w:t>
      </w:r>
      <w:proofErr w:type="spellEnd"/>
      <w:r w:rsidRPr="00FE1C11">
        <w:rPr>
          <w:rFonts w:cstheme="minorHAnsi"/>
          <w:color w:val="212121"/>
          <w:sz w:val="22"/>
          <w:szCs w:val="22"/>
          <w:shd w:val="clear" w:color="auto" w:fill="FFFFFF"/>
        </w:rPr>
        <w:t xml:space="preserve"> E, Asensio Á, </w:t>
      </w:r>
      <w:proofErr w:type="spellStart"/>
      <w:r w:rsidRPr="00FE1C11">
        <w:rPr>
          <w:rFonts w:cstheme="minorHAnsi"/>
          <w:color w:val="212121"/>
          <w:sz w:val="22"/>
          <w:szCs w:val="22"/>
          <w:shd w:val="clear" w:color="auto" w:fill="FFFFFF"/>
        </w:rPr>
        <w:t>Fermández</w:t>
      </w:r>
      <w:proofErr w:type="spellEnd"/>
      <w:r w:rsidRPr="00FE1C11">
        <w:rPr>
          <w:rFonts w:cstheme="minorHAnsi"/>
          <w:color w:val="212121"/>
          <w:sz w:val="22"/>
          <w:szCs w:val="22"/>
          <w:shd w:val="clear" w:color="auto" w:fill="FFFFFF"/>
        </w:rPr>
        <w:t xml:space="preserve">-Cruz A, Ramos-Martinez A; Puerta de </w:t>
      </w:r>
      <w:proofErr w:type="spellStart"/>
      <w:r w:rsidRPr="00FE1C11">
        <w:rPr>
          <w:rFonts w:cstheme="minorHAnsi"/>
          <w:color w:val="212121"/>
          <w:sz w:val="22"/>
          <w:szCs w:val="22"/>
          <w:shd w:val="clear" w:color="auto" w:fill="FFFFFF"/>
        </w:rPr>
        <w:t>Hierro</w:t>
      </w:r>
      <w:proofErr w:type="spellEnd"/>
      <w:r w:rsidRPr="00FE1C11">
        <w:rPr>
          <w:rFonts w:cstheme="minorHAnsi"/>
          <w:color w:val="212121"/>
          <w:sz w:val="22"/>
          <w:szCs w:val="22"/>
          <w:shd w:val="clear" w:color="auto" w:fill="FFFFFF"/>
        </w:rPr>
        <w:t xml:space="preserve"> Hospital Admission Study Group. Hospital Readmissions of Discharged Patients with COVID-19. Int J Gen Med. 2020 Dec </w:t>
      </w:r>
      <w:proofErr w:type="gramStart"/>
      <w:r w:rsidRPr="00FE1C11">
        <w:rPr>
          <w:rFonts w:cstheme="minorHAnsi"/>
          <w:color w:val="212121"/>
          <w:sz w:val="22"/>
          <w:szCs w:val="22"/>
          <w:shd w:val="clear" w:color="auto" w:fill="FFFFFF"/>
        </w:rPr>
        <w:t>2;13:1359</w:t>
      </w:r>
      <w:proofErr w:type="gramEnd"/>
      <w:r w:rsidRPr="00FE1C11">
        <w:rPr>
          <w:rFonts w:cstheme="minorHAnsi"/>
          <w:color w:val="212121"/>
          <w:sz w:val="22"/>
          <w:szCs w:val="22"/>
          <w:shd w:val="clear" w:color="auto" w:fill="FFFFFF"/>
        </w:rPr>
        <w:t xml:space="preserve">-1366. </w:t>
      </w:r>
      <w:proofErr w:type="spellStart"/>
      <w:r w:rsidRPr="00FE1C11">
        <w:rPr>
          <w:rFonts w:cstheme="minorHAnsi"/>
          <w:color w:val="212121"/>
          <w:sz w:val="22"/>
          <w:szCs w:val="22"/>
          <w:shd w:val="clear" w:color="auto" w:fill="FFFFFF"/>
        </w:rPr>
        <w:t>doi</w:t>
      </w:r>
      <w:proofErr w:type="spellEnd"/>
      <w:r w:rsidRPr="00FE1C11">
        <w:rPr>
          <w:rFonts w:cstheme="minorHAnsi"/>
          <w:color w:val="212121"/>
          <w:sz w:val="22"/>
          <w:szCs w:val="22"/>
          <w:shd w:val="clear" w:color="auto" w:fill="FFFFFF"/>
        </w:rPr>
        <w:t>: 10.2147/IJGM.S275775. PMID: 33299342; PMCID: PMC7719438.</w:t>
      </w:r>
    </w:p>
    <w:p w14:paraId="29089E3A" w14:textId="77777777" w:rsidR="00FE1C11" w:rsidRPr="00FE1C11" w:rsidRDefault="00FE1C11" w:rsidP="00FE1C11">
      <w:pPr>
        <w:pStyle w:val="EndnoteText"/>
        <w:rPr>
          <w:rFonts w:cstheme="minorHAnsi"/>
          <w:sz w:val="22"/>
          <w:szCs w:val="22"/>
        </w:rPr>
      </w:pPr>
    </w:p>
  </w:endnote>
  <w:endnote w:id="40">
    <w:p w14:paraId="4AAADF73" w14:textId="77777777" w:rsidR="00FE1C11" w:rsidRPr="00FE1C11" w:rsidRDefault="00FE1C11" w:rsidP="00FE1C11">
      <w:pPr>
        <w:pStyle w:val="EndnoteText"/>
        <w:rPr>
          <w:rFonts w:cstheme="minorHAnsi"/>
          <w:color w:val="212121"/>
          <w:sz w:val="22"/>
          <w:szCs w:val="22"/>
          <w:shd w:val="clear" w:color="auto" w:fill="FFFFFF"/>
        </w:rPr>
      </w:pPr>
      <w:r w:rsidRPr="00FE1C11">
        <w:rPr>
          <w:rStyle w:val="EndnoteReference"/>
          <w:sz w:val="22"/>
          <w:szCs w:val="22"/>
          <w:vertAlign w:val="baseline"/>
        </w:rPr>
        <w:endnoteRef/>
      </w:r>
      <w:r w:rsidRPr="00FE1C11">
        <w:rPr>
          <w:rFonts w:cstheme="minorHAnsi"/>
          <w:sz w:val="22"/>
          <w:szCs w:val="22"/>
        </w:rPr>
        <w:t xml:space="preserve">. </w:t>
      </w:r>
      <w:proofErr w:type="spellStart"/>
      <w:r w:rsidRPr="00FE1C11">
        <w:rPr>
          <w:rFonts w:cstheme="minorHAnsi"/>
          <w:color w:val="212121"/>
          <w:sz w:val="22"/>
          <w:szCs w:val="22"/>
          <w:shd w:val="clear" w:color="auto" w:fill="FFFFFF"/>
        </w:rPr>
        <w:t>Rokadiya</w:t>
      </w:r>
      <w:proofErr w:type="spellEnd"/>
      <w:r w:rsidRPr="00FE1C11">
        <w:rPr>
          <w:rFonts w:cstheme="minorHAnsi"/>
          <w:color w:val="212121"/>
          <w:sz w:val="22"/>
          <w:szCs w:val="22"/>
          <w:shd w:val="clear" w:color="auto" w:fill="FFFFFF"/>
        </w:rPr>
        <w:t xml:space="preserve"> S, Gil E, Stubbs C, Bell D, Herbert R. COVID-19: Outcomes of patients with confirmed COVID-19 re-admitted to hospital. J Infect. 2020 Sep;81(3</w:t>
      </w:r>
      <w:proofErr w:type="gramStart"/>
      <w:r w:rsidRPr="00FE1C11">
        <w:rPr>
          <w:rFonts w:cstheme="minorHAnsi"/>
          <w:color w:val="212121"/>
          <w:sz w:val="22"/>
          <w:szCs w:val="22"/>
          <w:shd w:val="clear" w:color="auto" w:fill="FFFFFF"/>
        </w:rPr>
        <w:t>):e</w:t>
      </w:r>
      <w:proofErr w:type="gramEnd"/>
      <w:r w:rsidRPr="00FE1C11">
        <w:rPr>
          <w:rFonts w:cstheme="minorHAnsi"/>
          <w:color w:val="212121"/>
          <w:sz w:val="22"/>
          <w:szCs w:val="22"/>
          <w:shd w:val="clear" w:color="auto" w:fill="FFFFFF"/>
        </w:rPr>
        <w:t xml:space="preserve">18-e19. </w:t>
      </w:r>
      <w:proofErr w:type="spellStart"/>
      <w:r w:rsidRPr="00FE1C11">
        <w:rPr>
          <w:rFonts w:cstheme="minorHAnsi"/>
          <w:color w:val="212121"/>
          <w:sz w:val="22"/>
          <w:szCs w:val="22"/>
          <w:shd w:val="clear" w:color="auto" w:fill="FFFFFF"/>
        </w:rPr>
        <w:t>doi</w:t>
      </w:r>
      <w:proofErr w:type="spellEnd"/>
      <w:r w:rsidRPr="00FE1C11">
        <w:rPr>
          <w:rFonts w:cstheme="minorHAnsi"/>
          <w:color w:val="212121"/>
          <w:sz w:val="22"/>
          <w:szCs w:val="22"/>
          <w:shd w:val="clear" w:color="auto" w:fill="FFFFFF"/>
        </w:rPr>
        <w:t xml:space="preserve">: 10.1016/j.jinf.2020.07.007. </w:t>
      </w:r>
      <w:proofErr w:type="spellStart"/>
      <w:r w:rsidRPr="00FE1C11">
        <w:rPr>
          <w:rFonts w:cstheme="minorHAnsi"/>
          <w:color w:val="212121"/>
          <w:sz w:val="22"/>
          <w:szCs w:val="22"/>
          <w:shd w:val="clear" w:color="auto" w:fill="FFFFFF"/>
        </w:rPr>
        <w:t>Epub</w:t>
      </w:r>
      <w:proofErr w:type="spellEnd"/>
      <w:r w:rsidRPr="00FE1C11">
        <w:rPr>
          <w:rFonts w:cstheme="minorHAnsi"/>
          <w:color w:val="212121"/>
          <w:sz w:val="22"/>
          <w:szCs w:val="22"/>
          <w:shd w:val="clear" w:color="auto" w:fill="FFFFFF"/>
        </w:rPr>
        <w:t xml:space="preserve"> 2020 Jul 8. PMID: 32652166; PMCID: PMC7342032.</w:t>
      </w:r>
    </w:p>
    <w:p w14:paraId="184B2A74" w14:textId="77777777" w:rsidR="00FE1C11" w:rsidRPr="00FE1C11" w:rsidRDefault="00FE1C11" w:rsidP="00FE1C11">
      <w:pPr>
        <w:pStyle w:val="EndnoteText"/>
        <w:rPr>
          <w:rFonts w:cstheme="minorHAnsi"/>
          <w:sz w:val="22"/>
          <w:szCs w:val="22"/>
        </w:rPr>
      </w:pPr>
    </w:p>
  </w:endnote>
  <w:endnote w:id="41">
    <w:p w14:paraId="16A8584B" w14:textId="208DD849" w:rsidR="00FE1C11" w:rsidRDefault="00FE1C11" w:rsidP="00FE1C11">
      <w:pPr>
        <w:pStyle w:val="EndnoteText"/>
        <w:rPr>
          <w:rFonts w:cstheme="minorHAnsi"/>
          <w:color w:val="303030"/>
          <w:sz w:val="22"/>
          <w:szCs w:val="22"/>
          <w:shd w:val="clear" w:color="auto" w:fill="FFFFFF"/>
        </w:rPr>
      </w:pPr>
      <w:r w:rsidRPr="00FE1C11">
        <w:rPr>
          <w:rStyle w:val="EndnoteReference"/>
          <w:sz w:val="22"/>
          <w:szCs w:val="22"/>
          <w:vertAlign w:val="baseline"/>
        </w:rPr>
        <w:endnoteRef/>
      </w:r>
      <w:r w:rsidRPr="00FE1C11">
        <w:rPr>
          <w:rFonts w:cstheme="minorHAnsi"/>
          <w:sz w:val="22"/>
          <w:szCs w:val="22"/>
        </w:rPr>
        <w:t xml:space="preserve">. </w:t>
      </w:r>
      <w:r w:rsidRPr="00FE1C11">
        <w:rPr>
          <w:rFonts w:cstheme="minorHAnsi"/>
          <w:color w:val="303030"/>
          <w:sz w:val="22"/>
          <w:szCs w:val="22"/>
          <w:shd w:val="clear" w:color="auto" w:fill="FFFFFF"/>
        </w:rPr>
        <w:t xml:space="preserve">Jeon WH, </w:t>
      </w:r>
      <w:proofErr w:type="spellStart"/>
      <w:r w:rsidRPr="00FE1C11">
        <w:rPr>
          <w:rFonts w:cstheme="minorHAnsi"/>
          <w:color w:val="303030"/>
          <w:sz w:val="22"/>
          <w:szCs w:val="22"/>
          <w:shd w:val="clear" w:color="auto" w:fill="FFFFFF"/>
        </w:rPr>
        <w:t>Seon</w:t>
      </w:r>
      <w:proofErr w:type="spellEnd"/>
      <w:r w:rsidRPr="00FE1C11">
        <w:rPr>
          <w:rFonts w:cstheme="minorHAnsi"/>
          <w:color w:val="303030"/>
          <w:sz w:val="22"/>
          <w:szCs w:val="22"/>
          <w:shd w:val="clear" w:color="auto" w:fill="FFFFFF"/>
        </w:rPr>
        <w:t xml:space="preserve"> JY, Park SY, Oh IH. Analysis of Risk Factors on Readmission Cases of COVID-19 in the Republic of Korea: Using Nationwide Health Claims Data. </w:t>
      </w:r>
      <w:r w:rsidRPr="00FE1C11">
        <w:rPr>
          <w:rFonts w:cstheme="minorHAnsi"/>
          <w:i/>
          <w:iCs/>
          <w:color w:val="303030"/>
          <w:sz w:val="22"/>
          <w:szCs w:val="22"/>
          <w:shd w:val="clear" w:color="auto" w:fill="FFFFFF"/>
        </w:rPr>
        <w:t>Int J Environ Res Public Health</w:t>
      </w:r>
      <w:r w:rsidRPr="00FE1C11">
        <w:rPr>
          <w:rFonts w:cstheme="minorHAnsi"/>
          <w:color w:val="303030"/>
          <w:sz w:val="22"/>
          <w:szCs w:val="22"/>
          <w:shd w:val="clear" w:color="auto" w:fill="FFFFFF"/>
        </w:rPr>
        <w:t>. 2020;17(16):5844. Published 2020 Aug 12. doi:10.3390/ijerph17165844</w:t>
      </w:r>
    </w:p>
    <w:p w14:paraId="7CAF1998" w14:textId="77777777" w:rsidR="00FE1C11" w:rsidRPr="00FE1C11" w:rsidRDefault="00FE1C11" w:rsidP="00FE1C11">
      <w:pPr>
        <w:pStyle w:val="EndnoteText"/>
        <w:rPr>
          <w:rFonts w:cstheme="minorHAnsi"/>
          <w:sz w:val="22"/>
          <w:szCs w:val="22"/>
        </w:rPr>
      </w:pPr>
    </w:p>
  </w:endnote>
  <w:endnote w:id="42">
    <w:p w14:paraId="534FF8E8" w14:textId="77777777" w:rsidR="00FE1C11" w:rsidRPr="00FE1C11" w:rsidRDefault="00FE1C11" w:rsidP="00FE1C11">
      <w:pPr>
        <w:pStyle w:val="EndnoteText"/>
        <w:rPr>
          <w:rFonts w:cstheme="minorHAnsi"/>
          <w:color w:val="212121"/>
          <w:sz w:val="22"/>
          <w:szCs w:val="22"/>
          <w:shd w:val="clear" w:color="auto" w:fill="FFFFFF"/>
        </w:rPr>
      </w:pPr>
      <w:r w:rsidRPr="00FE1C11">
        <w:rPr>
          <w:rStyle w:val="EndnoteReference"/>
          <w:sz w:val="22"/>
          <w:szCs w:val="22"/>
          <w:vertAlign w:val="baseline"/>
        </w:rPr>
        <w:endnoteRef/>
      </w:r>
      <w:r w:rsidRPr="00FE1C11">
        <w:rPr>
          <w:rFonts w:cstheme="minorHAnsi"/>
          <w:sz w:val="22"/>
          <w:szCs w:val="22"/>
        </w:rPr>
        <w:t xml:space="preserve">. </w:t>
      </w:r>
      <w:r w:rsidRPr="00FE1C11">
        <w:rPr>
          <w:rFonts w:cstheme="minorHAnsi"/>
          <w:color w:val="212121"/>
          <w:sz w:val="22"/>
          <w:szCs w:val="22"/>
          <w:shd w:val="clear" w:color="auto" w:fill="FFFFFF"/>
        </w:rPr>
        <w:t xml:space="preserve">Gordon WJ, Henderson D, </w:t>
      </w:r>
      <w:proofErr w:type="spellStart"/>
      <w:r w:rsidRPr="00FE1C11">
        <w:rPr>
          <w:rFonts w:cstheme="minorHAnsi"/>
          <w:color w:val="212121"/>
          <w:sz w:val="22"/>
          <w:szCs w:val="22"/>
          <w:shd w:val="clear" w:color="auto" w:fill="FFFFFF"/>
        </w:rPr>
        <w:t>DeSharone</w:t>
      </w:r>
      <w:proofErr w:type="spellEnd"/>
      <w:r w:rsidRPr="00FE1C11">
        <w:rPr>
          <w:rFonts w:cstheme="minorHAnsi"/>
          <w:color w:val="212121"/>
          <w:sz w:val="22"/>
          <w:szCs w:val="22"/>
          <w:shd w:val="clear" w:color="auto" w:fill="FFFFFF"/>
        </w:rPr>
        <w:t xml:space="preserve"> A, Fisher HN, Judge J, Levine DM, MacLean L, Sousa D, Su MY, Boxer R. Remote Patient Monitoring Program for Hospital Discharged COVID-19 Patients. </w:t>
      </w:r>
      <w:proofErr w:type="spellStart"/>
      <w:r w:rsidRPr="00FE1C11">
        <w:rPr>
          <w:rFonts w:cstheme="minorHAnsi"/>
          <w:color w:val="212121"/>
          <w:sz w:val="22"/>
          <w:szCs w:val="22"/>
          <w:shd w:val="clear" w:color="auto" w:fill="FFFFFF"/>
        </w:rPr>
        <w:t>Appl</w:t>
      </w:r>
      <w:proofErr w:type="spellEnd"/>
      <w:r w:rsidRPr="00FE1C11">
        <w:rPr>
          <w:rFonts w:cstheme="minorHAnsi"/>
          <w:color w:val="212121"/>
          <w:sz w:val="22"/>
          <w:szCs w:val="22"/>
          <w:shd w:val="clear" w:color="auto" w:fill="FFFFFF"/>
        </w:rPr>
        <w:t xml:space="preserve"> Clin Inform. 2020 Oct;11(5):792-801. </w:t>
      </w:r>
      <w:proofErr w:type="spellStart"/>
      <w:r w:rsidRPr="00FE1C11">
        <w:rPr>
          <w:rFonts w:cstheme="minorHAnsi"/>
          <w:color w:val="212121"/>
          <w:sz w:val="22"/>
          <w:szCs w:val="22"/>
          <w:shd w:val="clear" w:color="auto" w:fill="FFFFFF"/>
        </w:rPr>
        <w:t>doi</w:t>
      </w:r>
      <w:proofErr w:type="spellEnd"/>
      <w:r w:rsidRPr="00FE1C11">
        <w:rPr>
          <w:rFonts w:cstheme="minorHAnsi"/>
          <w:color w:val="212121"/>
          <w:sz w:val="22"/>
          <w:szCs w:val="22"/>
          <w:shd w:val="clear" w:color="auto" w:fill="FFFFFF"/>
        </w:rPr>
        <w:t xml:space="preserve">: 10.1055/s-0040-1721039. </w:t>
      </w:r>
      <w:proofErr w:type="spellStart"/>
      <w:r w:rsidRPr="00FE1C11">
        <w:rPr>
          <w:rFonts w:cstheme="minorHAnsi"/>
          <w:color w:val="212121"/>
          <w:sz w:val="22"/>
          <w:szCs w:val="22"/>
          <w:shd w:val="clear" w:color="auto" w:fill="FFFFFF"/>
        </w:rPr>
        <w:t>Epub</w:t>
      </w:r>
      <w:proofErr w:type="spellEnd"/>
      <w:r w:rsidRPr="00FE1C11">
        <w:rPr>
          <w:rFonts w:cstheme="minorHAnsi"/>
          <w:color w:val="212121"/>
          <w:sz w:val="22"/>
          <w:szCs w:val="22"/>
          <w:shd w:val="clear" w:color="auto" w:fill="FFFFFF"/>
        </w:rPr>
        <w:t xml:space="preserve"> 2020 Nov 25. PMID: 33241547; PMCID: PMC7688410.</w:t>
      </w:r>
    </w:p>
    <w:p w14:paraId="3E0CB6F2" w14:textId="77777777" w:rsidR="00FE1C11" w:rsidRPr="00FE1C11" w:rsidRDefault="00FE1C11" w:rsidP="00FE1C11">
      <w:pPr>
        <w:pStyle w:val="EndnoteText"/>
        <w:rPr>
          <w:rFonts w:cstheme="minorHAnsi"/>
          <w:sz w:val="22"/>
          <w:szCs w:val="22"/>
        </w:rPr>
      </w:pPr>
    </w:p>
  </w:endnote>
  <w:endnote w:id="43">
    <w:p w14:paraId="08D33384" w14:textId="77777777" w:rsidR="00FE1C11" w:rsidRPr="00FE1C11" w:rsidRDefault="00FE1C11" w:rsidP="00FE1C11">
      <w:pPr>
        <w:shd w:val="clear" w:color="auto" w:fill="FFFFFF"/>
        <w:rPr>
          <w:rFonts w:cstheme="minorHAnsi"/>
        </w:rPr>
      </w:pPr>
      <w:r w:rsidRPr="00FE1C11">
        <w:rPr>
          <w:rStyle w:val="EndnoteReference"/>
          <w:vertAlign w:val="baseline"/>
        </w:rPr>
        <w:endnoteRef/>
      </w:r>
      <w:r w:rsidRPr="00FE1C11">
        <w:rPr>
          <w:rFonts w:cstheme="minorHAnsi"/>
        </w:rPr>
        <w:t xml:space="preserve">. </w:t>
      </w:r>
      <w:r w:rsidRPr="00FE1C11">
        <w:rPr>
          <w:rFonts w:eastAsia="Times New Roman" w:cstheme="minorHAnsi"/>
          <w:color w:val="212121"/>
          <w:lang w:eastAsia="en-GB"/>
        </w:rPr>
        <w:t xml:space="preserve">Ford D, Harvey JB, </w:t>
      </w:r>
      <w:proofErr w:type="spellStart"/>
      <w:r w:rsidRPr="00FE1C11">
        <w:rPr>
          <w:rFonts w:eastAsia="Times New Roman" w:cstheme="minorHAnsi"/>
          <w:color w:val="212121"/>
          <w:lang w:eastAsia="en-GB"/>
        </w:rPr>
        <w:t>McElligott</w:t>
      </w:r>
      <w:proofErr w:type="spellEnd"/>
      <w:r w:rsidRPr="00FE1C11">
        <w:rPr>
          <w:rFonts w:eastAsia="Times New Roman" w:cstheme="minorHAnsi"/>
          <w:color w:val="212121"/>
          <w:lang w:eastAsia="en-GB"/>
        </w:rPr>
        <w:t xml:space="preserve"> J, King K, Simpson KN, </w:t>
      </w:r>
      <w:proofErr w:type="spellStart"/>
      <w:r w:rsidRPr="00FE1C11">
        <w:rPr>
          <w:rFonts w:eastAsia="Times New Roman" w:cstheme="minorHAnsi"/>
          <w:color w:val="212121"/>
          <w:lang w:eastAsia="en-GB"/>
        </w:rPr>
        <w:t>Valenta</w:t>
      </w:r>
      <w:proofErr w:type="spellEnd"/>
      <w:r w:rsidRPr="00FE1C11">
        <w:rPr>
          <w:rFonts w:eastAsia="Times New Roman" w:cstheme="minorHAnsi"/>
          <w:color w:val="212121"/>
          <w:lang w:eastAsia="en-GB"/>
        </w:rPr>
        <w:t xml:space="preserve"> S, Warr EH, Walsh T, Debenham E, Teasdale C, </w:t>
      </w:r>
      <w:proofErr w:type="spellStart"/>
      <w:r w:rsidRPr="00FE1C11">
        <w:rPr>
          <w:rFonts w:eastAsia="Times New Roman" w:cstheme="minorHAnsi"/>
          <w:color w:val="212121"/>
          <w:lang w:eastAsia="en-GB"/>
        </w:rPr>
        <w:t>Meystre</w:t>
      </w:r>
      <w:proofErr w:type="spellEnd"/>
      <w:r w:rsidRPr="00FE1C11">
        <w:rPr>
          <w:rFonts w:eastAsia="Times New Roman" w:cstheme="minorHAnsi"/>
          <w:color w:val="212121"/>
          <w:lang w:eastAsia="en-GB"/>
        </w:rPr>
        <w:t xml:space="preserve"> S, Obeid JS, </w:t>
      </w:r>
      <w:proofErr w:type="spellStart"/>
      <w:r w:rsidRPr="00FE1C11">
        <w:rPr>
          <w:rFonts w:eastAsia="Times New Roman" w:cstheme="minorHAnsi"/>
          <w:color w:val="212121"/>
          <w:lang w:eastAsia="en-GB"/>
        </w:rPr>
        <w:t>Metts</w:t>
      </w:r>
      <w:proofErr w:type="spellEnd"/>
      <w:r w:rsidRPr="00FE1C11">
        <w:rPr>
          <w:rFonts w:eastAsia="Times New Roman" w:cstheme="minorHAnsi"/>
          <w:color w:val="212121"/>
          <w:lang w:eastAsia="en-GB"/>
        </w:rPr>
        <w:t xml:space="preserve"> C, </w:t>
      </w:r>
      <w:proofErr w:type="spellStart"/>
      <w:r w:rsidRPr="00FE1C11">
        <w:rPr>
          <w:rFonts w:eastAsia="Times New Roman" w:cstheme="minorHAnsi"/>
          <w:color w:val="212121"/>
          <w:lang w:eastAsia="en-GB"/>
        </w:rPr>
        <w:t>Lenert</w:t>
      </w:r>
      <w:proofErr w:type="spellEnd"/>
      <w:r w:rsidRPr="00FE1C11">
        <w:rPr>
          <w:rFonts w:eastAsia="Times New Roman" w:cstheme="minorHAnsi"/>
          <w:color w:val="212121"/>
          <w:lang w:eastAsia="en-GB"/>
        </w:rPr>
        <w:t xml:space="preserve"> LA. Leveraging health system telehealth and informatics infrastructure to create a continuum of services for COVID-19 screening, testing, and treatment. J Am Med Inform Assoc. 2020 Dec 9;27(12):1871-1877. </w:t>
      </w:r>
      <w:proofErr w:type="spellStart"/>
      <w:r w:rsidRPr="00FE1C11">
        <w:rPr>
          <w:rFonts w:eastAsia="Times New Roman" w:cstheme="minorHAnsi"/>
          <w:color w:val="212121"/>
          <w:lang w:eastAsia="en-GB"/>
        </w:rPr>
        <w:t>doi</w:t>
      </w:r>
      <w:proofErr w:type="spellEnd"/>
      <w:r w:rsidRPr="00FE1C11">
        <w:rPr>
          <w:rFonts w:eastAsia="Times New Roman" w:cstheme="minorHAnsi"/>
          <w:color w:val="212121"/>
          <w:lang w:eastAsia="en-GB"/>
        </w:rPr>
        <w:t>: 10.1093/</w:t>
      </w:r>
      <w:proofErr w:type="spellStart"/>
      <w:r w:rsidRPr="00FE1C11">
        <w:rPr>
          <w:rFonts w:eastAsia="Times New Roman" w:cstheme="minorHAnsi"/>
          <w:color w:val="212121"/>
          <w:lang w:eastAsia="en-GB"/>
        </w:rPr>
        <w:t>jamia</w:t>
      </w:r>
      <w:proofErr w:type="spellEnd"/>
      <w:r w:rsidRPr="00FE1C11">
        <w:rPr>
          <w:rFonts w:eastAsia="Times New Roman" w:cstheme="minorHAnsi"/>
          <w:color w:val="212121"/>
          <w:lang w:eastAsia="en-GB"/>
        </w:rPr>
        <w:t>/ocaa157. PMID: 32602884; PMCID: PMC7337763.</w:t>
      </w:r>
    </w:p>
  </w:endnote>
  <w:endnote w:id="44">
    <w:p w14:paraId="296BFB03" w14:textId="77777777" w:rsidR="00FE1C11" w:rsidRPr="00FE1C11" w:rsidRDefault="00FE1C11" w:rsidP="00FE1C11">
      <w:pPr>
        <w:pStyle w:val="Default"/>
        <w:rPr>
          <w:rFonts w:asciiTheme="minorHAnsi" w:hAnsiTheme="minorHAnsi" w:cstheme="minorHAnsi"/>
          <w:sz w:val="22"/>
          <w:szCs w:val="22"/>
        </w:rPr>
      </w:pPr>
      <w:r w:rsidRPr="00FE1C11">
        <w:rPr>
          <w:rStyle w:val="EndnoteReference"/>
          <w:rFonts w:asciiTheme="minorHAnsi" w:hAnsiTheme="minorHAnsi"/>
          <w:sz w:val="22"/>
          <w:szCs w:val="22"/>
          <w:vertAlign w:val="baseline"/>
        </w:rPr>
        <w:endnoteRef/>
      </w:r>
      <w:r w:rsidRPr="00FE1C11">
        <w:rPr>
          <w:rFonts w:asciiTheme="minorHAnsi" w:hAnsiTheme="minorHAnsi" w:cstheme="minorHAnsi"/>
          <w:sz w:val="22"/>
          <w:szCs w:val="22"/>
        </w:rPr>
        <w:t xml:space="preserve">. </w:t>
      </w:r>
      <w:proofErr w:type="spellStart"/>
      <w:r w:rsidRPr="00FE1C11">
        <w:rPr>
          <w:rFonts w:asciiTheme="minorHAnsi" w:eastAsia="Times New Roman" w:hAnsiTheme="minorHAnsi" w:cstheme="minorHAnsi"/>
          <w:sz w:val="22"/>
          <w:szCs w:val="22"/>
          <w:lang w:eastAsia="en-GB"/>
        </w:rPr>
        <w:t>Morcillo</w:t>
      </w:r>
      <w:proofErr w:type="spellEnd"/>
      <w:r w:rsidRPr="00FE1C11">
        <w:rPr>
          <w:rFonts w:asciiTheme="minorHAnsi" w:eastAsia="Times New Roman" w:hAnsiTheme="minorHAnsi" w:cstheme="minorHAnsi"/>
          <w:sz w:val="22"/>
          <w:szCs w:val="22"/>
          <w:lang w:eastAsia="en-GB"/>
        </w:rPr>
        <w:t xml:space="preserve"> C. </w:t>
      </w:r>
      <w:proofErr w:type="spellStart"/>
      <w:r w:rsidRPr="00FE1C11">
        <w:rPr>
          <w:rFonts w:asciiTheme="minorHAnsi" w:eastAsia="Times New Roman" w:hAnsiTheme="minorHAnsi" w:cstheme="minorHAnsi"/>
          <w:sz w:val="22"/>
          <w:szCs w:val="22"/>
          <w:lang w:eastAsia="en-GB"/>
        </w:rPr>
        <w:t>Marzal</w:t>
      </w:r>
      <w:proofErr w:type="spellEnd"/>
      <w:r w:rsidRPr="00FE1C11">
        <w:rPr>
          <w:rFonts w:asciiTheme="minorHAnsi" w:eastAsia="Times New Roman" w:hAnsiTheme="minorHAnsi" w:cstheme="minorHAnsi"/>
          <w:sz w:val="22"/>
          <w:szCs w:val="22"/>
          <w:lang w:eastAsia="en-GB"/>
        </w:rPr>
        <w:t xml:space="preserve"> D, Velazquez J, Tomas JF. Remote Monitoring of Patients with COVID-19 after Hospital Discharge with Connected Health Platform: Outcomes and Quality of Life. </w:t>
      </w:r>
    </w:p>
    <w:p w14:paraId="2E897470" w14:textId="77777777" w:rsidR="00FE1C11" w:rsidRPr="00FE1C11" w:rsidRDefault="00FE1C11" w:rsidP="00FE1C11">
      <w:pPr>
        <w:pStyle w:val="Default"/>
        <w:rPr>
          <w:rFonts w:asciiTheme="minorHAnsi" w:hAnsiTheme="minorHAnsi" w:cstheme="minorHAnsi"/>
          <w:sz w:val="22"/>
          <w:szCs w:val="22"/>
        </w:rPr>
      </w:pPr>
      <w:r w:rsidRPr="00FE1C11">
        <w:rPr>
          <w:rFonts w:asciiTheme="minorHAnsi" w:hAnsiTheme="minorHAnsi" w:cstheme="minorHAnsi"/>
          <w:sz w:val="22"/>
          <w:szCs w:val="22"/>
        </w:rPr>
        <w:t xml:space="preserve"> JOURNAL OF INTEGRATIVE CARDIOLOGY OPEN ACCESS. </w:t>
      </w:r>
      <w:hyperlink r:id="rId13" w:history="1">
        <w:r w:rsidRPr="00FE1C11">
          <w:rPr>
            <w:rStyle w:val="Hyperlink"/>
            <w:rFonts w:asciiTheme="minorHAnsi" w:hAnsiTheme="minorHAnsi"/>
            <w:sz w:val="22"/>
            <w:szCs w:val="22"/>
          </w:rPr>
          <w:t>http://dx.doi.org/10.31487/j.JICOA.2020.05.05</w:t>
        </w:r>
      </w:hyperlink>
      <w:r w:rsidRPr="00FE1C11">
        <w:rPr>
          <w:rFonts w:asciiTheme="minorHAnsi" w:hAnsiTheme="minorHAnsi" w:cstheme="minorHAnsi"/>
          <w:sz w:val="22"/>
          <w:szCs w:val="22"/>
        </w:rPr>
        <w:t xml:space="preserve"> </w:t>
      </w:r>
    </w:p>
    <w:p w14:paraId="6A44B810" w14:textId="77777777" w:rsidR="00FE1C11" w:rsidRPr="00FE1C11" w:rsidRDefault="00FE1C11" w:rsidP="00FE1C11">
      <w:pPr>
        <w:pStyle w:val="EndnoteText"/>
        <w:rPr>
          <w:rFonts w:cstheme="minorHAnsi"/>
          <w:sz w:val="22"/>
          <w:szCs w:val="22"/>
        </w:rPr>
      </w:pPr>
    </w:p>
  </w:endnote>
  <w:endnote w:id="45">
    <w:p w14:paraId="695633AC" w14:textId="77777777" w:rsidR="00FE1C11" w:rsidRPr="00FE1C11" w:rsidRDefault="00FE1C11" w:rsidP="00FE1C11">
      <w:pPr>
        <w:pStyle w:val="EndnoteText"/>
        <w:rPr>
          <w:rFonts w:cstheme="minorHAnsi"/>
          <w:color w:val="212121"/>
          <w:sz w:val="22"/>
          <w:szCs w:val="22"/>
          <w:shd w:val="clear" w:color="auto" w:fill="FFFFFF"/>
        </w:rPr>
      </w:pPr>
      <w:r w:rsidRPr="00FE1C11">
        <w:rPr>
          <w:rStyle w:val="EndnoteReference"/>
          <w:sz w:val="22"/>
          <w:szCs w:val="22"/>
          <w:vertAlign w:val="baseline"/>
        </w:rPr>
        <w:endnoteRef/>
      </w:r>
      <w:r w:rsidRPr="00FE1C11">
        <w:rPr>
          <w:rFonts w:cstheme="minorHAnsi"/>
          <w:sz w:val="22"/>
          <w:szCs w:val="22"/>
        </w:rPr>
        <w:t xml:space="preserve">. </w:t>
      </w:r>
      <w:r w:rsidRPr="00FE1C11">
        <w:rPr>
          <w:rFonts w:cstheme="minorHAnsi"/>
          <w:color w:val="212121"/>
          <w:sz w:val="22"/>
          <w:szCs w:val="22"/>
          <w:shd w:val="clear" w:color="auto" w:fill="FFFFFF"/>
        </w:rPr>
        <w:t xml:space="preserve">O'Carroll O, </w:t>
      </w:r>
      <w:proofErr w:type="spellStart"/>
      <w:r w:rsidRPr="00FE1C11">
        <w:rPr>
          <w:rFonts w:cstheme="minorHAnsi"/>
          <w:color w:val="212121"/>
          <w:sz w:val="22"/>
          <w:szCs w:val="22"/>
          <w:shd w:val="clear" w:color="auto" w:fill="FFFFFF"/>
        </w:rPr>
        <w:t>MacCann</w:t>
      </w:r>
      <w:proofErr w:type="spellEnd"/>
      <w:r w:rsidRPr="00FE1C11">
        <w:rPr>
          <w:rFonts w:cstheme="minorHAnsi"/>
          <w:color w:val="212121"/>
          <w:sz w:val="22"/>
          <w:szCs w:val="22"/>
          <w:shd w:val="clear" w:color="auto" w:fill="FFFFFF"/>
        </w:rPr>
        <w:t xml:space="preserve"> R, O'Reilly A, </w:t>
      </w:r>
      <w:proofErr w:type="spellStart"/>
      <w:r w:rsidRPr="00FE1C11">
        <w:rPr>
          <w:rFonts w:cstheme="minorHAnsi"/>
          <w:color w:val="212121"/>
          <w:sz w:val="22"/>
          <w:szCs w:val="22"/>
          <w:shd w:val="clear" w:color="auto" w:fill="FFFFFF"/>
        </w:rPr>
        <w:t>Dunican</w:t>
      </w:r>
      <w:proofErr w:type="spellEnd"/>
      <w:r w:rsidRPr="00FE1C11">
        <w:rPr>
          <w:rFonts w:cstheme="minorHAnsi"/>
          <w:color w:val="212121"/>
          <w:sz w:val="22"/>
          <w:szCs w:val="22"/>
          <w:shd w:val="clear" w:color="auto" w:fill="FFFFFF"/>
        </w:rPr>
        <w:t xml:space="preserve"> EM, Feeney ER, Ryan S, Cotter A, Mallon PW, Keane MP, Butler MW, McCarthy C. Remote monitoring of oxygen saturation in individuals with COVID-19 pneumonia. Eur Respir J. 2020 Aug 13;56(2):2001492. </w:t>
      </w:r>
      <w:proofErr w:type="spellStart"/>
      <w:r w:rsidRPr="00FE1C11">
        <w:rPr>
          <w:rFonts w:cstheme="minorHAnsi"/>
          <w:color w:val="212121"/>
          <w:sz w:val="22"/>
          <w:szCs w:val="22"/>
          <w:shd w:val="clear" w:color="auto" w:fill="FFFFFF"/>
        </w:rPr>
        <w:t>doi</w:t>
      </w:r>
      <w:proofErr w:type="spellEnd"/>
      <w:r w:rsidRPr="00FE1C11">
        <w:rPr>
          <w:rFonts w:cstheme="minorHAnsi"/>
          <w:color w:val="212121"/>
          <w:sz w:val="22"/>
          <w:szCs w:val="22"/>
          <w:shd w:val="clear" w:color="auto" w:fill="FFFFFF"/>
        </w:rPr>
        <w:t>: 10.1183/13993003.01492-2020. PMID: 32616588; PMCID: PMC7331654.</w:t>
      </w:r>
    </w:p>
    <w:p w14:paraId="2B0942F9" w14:textId="77777777" w:rsidR="00FE1C11" w:rsidRPr="00FE1C11" w:rsidRDefault="00FE1C11" w:rsidP="00FE1C11">
      <w:pPr>
        <w:pStyle w:val="EndnoteText"/>
        <w:rPr>
          <w:rFonts w:cstheme="minorHAnsi"/>
          <w:sz w:val="22"/>
          <w:szCs w:val="22"/>
        </w:rPr>
      </w:pPr>
    </w:p>
  </w:endnote>
  <w:endnote w:id="46">
    <w:p w14:paraId="1D5B1D1B" w14:textId="77777777" w:rsidR="00FE1C11" w:rsidRPr="00E95CF1" w:rsidRDefault="00FE1C11" w:rsidP="00FE1C11">
      <w:pPr>
        <w:pStyle w:val="EndnoteText"/>
        <w:rPr>
          <w:rFonts w:cstheme="minorHAnsi"/>
          <w:sz w:val="22"/>
          <w:szCs w:val="22"/>
        </w:rPr>
      </w:pPr>
      <w:r w:rsidRPr="00FE1C11">
        <w:rPr>
          <w:rStyle w:val="EndnoteReference"/>
          <w:sz w:val="22"/>
          <w:szCs w:val="22"/>
          <w:vertAlign w:val="baseline"/>
        </w:rPr>
        <w:endnoteRef/>
      </w:r>
      <w:r w:rsidRPr="00FE1C11">
        <w:rPr>
          <w:rFonts w:cstheme="minorHAnsi"/>
          <w:sz w:val="22"/>
          <w:szCs w:val="22"/>
        </w:rPr>
        <w:t xml:space="preserve">. </w:t>
      </w:r>
      <w:proofErr w:type="spellStart"/>
      <w:r w:rsidRPr="00FE1C11">
        <w:rPr>
          <w:rFonts w:cstheme="minorHAnsi"/>
          <w:sz w:val="22"/>
          <w:szCs w:val="22"/>
        </w:rPr>
        <w:t>Grutters</w:t>
      </w:r>
      <w:proofErr w:type="spellEnd"/>
      <w:r w:rsidRPr="00FE1C11">
        <w:rPr>
          <w:rFonts w:cstheme="minorHAnsi"/>
          <w:sz w:val="22"/>
          <w:szCs w:val="22"/>
        </w:rPr>
        <w:t xml:space="preserve"> LA, </w:t>
      </w:r>
      <w:proofErr w:type="spellStart"/>
      <w:r w:rsidRPr="00FE1C11">
        <w:rPr>
          <w:rFonts w:cstheme="minorHAnsi"/>
          <w:sz w:val="22"/>
          <w:szCs w:val="22"/>
        </w:rPr>
        <w:t>Majoor</w:t>
      </w:r>
      <w:proofErr w:type="spellEnd"/>
      <w:r w:rsidRPr="00FE1C11">
        <w:rPr>
          <w:rFonts w:cstheme="minorHAnsi"/>
          <w:sz w:val="22"/>
          <w:szCs w:val="22"/>
        </w:rPr>
        <w:t xml:space="preserve"> KI, </w:t>
      </w:r>
      <w:proofErr w:type="spellStart"/>
      <w:r w:rsidRPr="00FE1C11">
        <w:rPr>
          <w:rFonts w:cstheme="minorHAnsi"/>
          <w:sz w:val="22"/>
          <w:szCs w:val="22"/>
        </w:rPr>
        <w:t>Mattern</w:t>
      </w:r>
      <w:proofErr w:type="spellEnd"/>
      <w:r w:rsidRPr="00FE1C11">
        <w:rPr>
          <w:rFonts w:cstheme="minorHAnsi"/>
          <w:sz w:val="22"/>
          <w:szCs w:val="22"/>
        </w:rPr>
        <w:t xml:space="preserve"> ESK, et al. Home telemonitoring makes early hospital discharge of COVID-19 patients possible. </w:t>
      </w:r>
      <w:r w:rsidRPr="00FE1C11">
        <w:rPr>
          <w:rFonts w:cstheme="minorHAnsi"/>
          <w:i/>
          <w:iCs/>
          <w:sz w:val="22"/>
          <w:szCs w:val="22"/>
        </w:rPr>
        <w:t xml:space="preserve">J Am Med Inform Assoc </w:t>
      </w:r>
      <w:proofErr w:type="gramStart"/>
      <w:r w:rsidRPr="00FE1C11">
        <w:rPr>
          <w:rFonts w:cstheme="minorHAnsi"/>
          <w:sz w:val="22"/>
          <w:szCs w:val="22"/>
        </w:rPr>
        <w:t>2020:ocaa</w:t>
      </w:r>
      <w:proofErr w:type="gramEnd"/>
      <w:r w:rsidRPr="00FE1C11">
        <w:rPr>
          <w:rFonts w:cstheme="minorHAnsi"/>
          <w:sz w:val="22"/>
          <w:szCs w:val="22"/>
        </w:rPr>
        <w:t xml:space="preserve">168. </w:t>
      </w:r>
      <w:proofErr w:type="spellStart"/>
      <w:r w:rsidRPr="00FE1C11">
        <w:rPr>
          <w:rFonts w:cstheme="minorHAnsi"/>
          <w:sz w:val="22"/>
          <w:szCs w:val="22"/>
        </w:rPr>
        <w:t>doi</w:t>
      </w:r>
      <w:proofErr w:type="spellEnd"/>
      <w:r w:rsidRPr="00FE1C11">
        <w:rPr>
          <w:rFonts w:cstheme="minorHAnsi"/>
          <w:sz w:val="22"/>
          <w:szCs w:val="22"/>
        </w:rPr>
        <w:t>: 10.1093/</w:t>
      </w:r>
      <w:proofErr w:type="spellStart"/>
      <w:r w:rsidRPr="00FE1C11">
        <w:rPr>
          <w:rFonts w:cstheme="minorHAnsi"/>
          <w:sz w:val="22"/>
          <w:szCs w:val="22"/>
        </w:rPr>
        <w:t>jamia</w:t>
      </w:r>
      <w:proofErr w:type="spellEnd"/>
      <w:r w:rsidRPr="00FE1C11">
        <w:rPr>
          <w:rFonts w:cstheme="minorHAnsi"/>
          <w:sz w:val="22"/>
          <w:szCs w:val="22"/>
        </w:rPr>
        <w:t>/ocaa168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live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1CCD" w14:textId="77777777" w:rsidR="00A3403A" w:rsidRDefault="00A3403A" w:rsidP="00196BA2">
      <w:pPr>
        <w:spacing w:after="0" w:line="240" w:lineRule="auto"/>
      </w:pPr>
      <w:r>
        <w:separator/>
      </w:r>
    </w:p>
  </w:footnote>
  <w:footnote w:type="continuationSeparator" w:id="0">
    <w:p w14:paraId="59D8F7E9" w14:textId="77777777" w:rsidR="00A3403A" w:rsidRDefault="00A3403A" w:rsidP="00196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47B"/>
    <w:multiLevelType w:val="multilevel"/>
    <w:tmpl w:val="155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40E7B"/>
    <w:multiLevelType w:val="multilevel"/>
    <w:tmpl w:val="4BC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06707"/>
    <w:multiLevelType w:val="hybridMultilevel"/>
    <w:tmpl w:val="6374C3D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67952FF"/>
    <w:multiLevelType w:val="hybridMultilevel"/>
    <w:tmpl w:val="73FAC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11ED9"/>
    <w:multiLevelType w:val="multilevel"/>
    <w:tmpl w:val="4A7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24A6F"/>
    <w:multiLevelType w:val="multilevel"/>
    <w:tmpl w:val="7A9C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6E37"/>
    <w:multiLevelType w:val="multilevel"/>
    <w:tmpl w:val="09F8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26CB4"/>
    <w:multiLevelType w:val="hybridMultilevel"/>
    <w:tmpl w:val="0F4ACE0C"/>
    <w:lvl w:ilvl="0" w:tplc="E0ACA9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A7B1F"/>
    <w:multiLevelType w:val="hybridMultilevel"/>
    <w:tmpl w:val="686C8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006727"/>
    <w:multiLevelType w:val="hybridMultilevel"/>
    <w:tmpl w:val="060A0B7A"/>
    <w:lvl w:ilvl="0" w:tplc="8FFA0436">
      <w:start w:val="1"/>
      <w:numFmt w:val="bullet"/>
      <w:lvlText w:val="•"/>
      <w:lvlJc w:val="left"/>
      <w:pPr>
        <w:tabs>
          <w:tab w:val="num" w:pos="720"/>
        </w:tabs>
        <w:ind w:left="720" w:hanging="360"/>
      </w:pPr>
      <w:rPr>
        <w:rFonts w:ascii="Arial" w:hAnsi="Arial" w:hint="default"/>
      </w:rPr>
    </w:lvl>
    <w:lvl w:ilvl="1" w:tplc="C8109AE2" w:tentative="1">
      <w:start w:val="1"/>
      <w:numFmt w:val="bullet"/>
      <w:lvlText w:val="•"/>
      <w:lvlJc w:val="left"/>
      <w:pPr>
        <w:tabs>
          <w:tab w:val="num" w:pos="1440"/>
        </w:tabs>
        <w:ind w:left="1440" w:hanging="360"/>
      </w:pPr>
      <w:rPr>
        <w:rFonts w:ascii="Arial" w:hAnsi="Arial" w:hint="default"/>
      </w:rPr>
    </w:lvl>
    <w:lvl w:ilvl="2" w:tplc="71765C38" w:tentative="1">
      <w:start w:val="1"/>
      <w:numFmt w:val="bullet"/>
      <w:lvlText w:val="•"/>
      <w:lvlJc w:val="left"/>
      <w:pPr>
        <w:tabs>
          <w:tab w:val="num" w:pos="2160"/>
        </w:tabs>
        <w:ind w:left="2160" w:hanging="360"/>
      </w:pPr>
      <w:rPr>
        <w:rFonts w:ascii="Arial" w:hAnsi="Arial" w:hint="default"/>
      </w:rPr>
    </w:lvl>
    <w:lvl w:ilvl="3" w:tplc="38EC20DA" w:tentative="1">
      <w:start w:val="1"/>
      <w:numFmt w:val="bullet"/>
      <w:lvlText w:val="•"/>
      <w:lvlJc w:val="left"/>
      <w:pPr>
        <w:tabs>
          <w:tab w:val="num" w:pos="2880"/>
        </w:tabs>
        <w:ind w:left="2880" w:hanging="360"/>
      </w:pPr>
      <w:rPr>
        <w:rFonts w:ascii="Arial" w:hAnsi="Arial" w:hint="default"/>
      </w:rPr>
    </w:lvl>
    <w:lvl w:ilvl="4" w:tplc="8BFE26A6" w:tentative="1">
      <w:start w:val="1"/>
      <w:numFmt w:val="bullet"/>
      <w:lvlText w:val="•"/>
      <w:lvlJc w:val="left"/>
      <w:pPr>
        <w:tabs>
          <w:tab w:val="num" w:pos="3600"/>
        </w:tabs>
        <w:ind w:left="3600" w:hanging="360"/>
      </w:pPr>
      <w:rPr>
        <w:rFonts w:ascii="Arial" w:hAnsi="Arial" w:hint="default"/>
      </w:rPr>
    </w:lvl>
    <w:lvl w:ilvl="5" w:tplc="17322A52" w:tentative="1">
      <w:start w:val="1"/>
      <w:numFmt w:val="bullet"/>
      <w:lvlText w:val="•"/>
      <w:lvlJc w:val="left"/>
      <w:pPr>
        <w:tabs>
          <w:tab w:val="num" w:pos="4320"/>
        </w:tabs>
        <w:ind w:left="4320" w:hanging="360"/>
      </w:pPr>
      <w:rPr>
        <w:rFonts w:ascii="Arial" w:hAnsi="Arial" w:hint="default"/>
      </w:rPr>
    </w:lvl>
    <w:lvl w:ilvl="6" w:tplc="CFFA3A00" w:tentative="1">
      <w:start w:val="1"/>
      <w:numFmt w:val="bullet"/>
      <w:lvlText w:val="•"/>
      <w:lvlJc w:val="left"/>
      <w:pPr>
        <w:tabs>
          <w:tab w:val="num" w:pos="5040"/>
        </w:tabs>
        <w:ind w:left="5040" w:hanging="360"/>
      </w:pPr>
      <w:rPr>
        <w:rFonts w:ascii="Arial" w:hAnsi="Arial" w:hint="default"/>
      </w:rPr>
    </w:lvl>
    <w:lvl w:ilvl="7" w:tplc="5AA872AE" w:tentative="1">
      <w:start w:val="1"/>
      <w:numFmt w:val="bullet"/>
      <w:lvlText w:val="•"/>
      <w:lvlJc w:val="left"/>
      <w:pPr>
        <w:tabs>
          <w:tab w:val="num" w:pos="5760"/>
        </w:tabs>
        <w:ind w:left="5760" w:hanging="360"/>
      </w:pPr>
      <w:rPr>
        <w:rFonts w:ascii="Arial" w:hAnsi="Arial" w:hint="default"/>
      </w:rPr>
    </w:lvl>
    <w:lvl w:ilvl="8" w:tplc="E4C264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9A1B32"/>
    <w:multiLevelType w:val="hybridMultilevel"/>
    <w:tmpl w:val="F440BFF8"/>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1" w15:restartNumberingAfterBreak="0">
    <w:nsid w:val="3A6B4B12"/>
    <w:multiLevelType w:val="multilevel"/>
    <w:tmpl w:val="76B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C2F4C"/>
    <w:multiLevelType w:val="hybridMultilevel"/>
    <w:tmpl w:val="82D0DD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072572"/>
    <w:multiLevelType w:val="hybridMultilevel"/>
    <w:tmpl w:val="6D66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754D2"/>
    <w:multiLevelType w:val="multilevel"/>
    <w:tmpl w:val="A17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22AAA"/>
    <w:multiLevelType w:val="hybridMultilevel"/>
    <w:tmpl w:val="CC2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30EE5"/>
    <w:multiLevelType w:val="multilevel"/>
    <w:tmpl w:val="19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60D0D"/>
    <w:multiLevelType w:val="multilevel"/>
    <w:tmpl w:val="9A8E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A4F7E"/>
    <w:multiLevelType w:val="hybridMultilevel"/>
    <w:tmpl w:val="9628F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C59CF"/>
    <w:multiLevelType w:val="multilevel"/>
    <w:tmpl w:val="211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91F17"/>
    <w:multiLevelType w:val="hybridMultilevel"/>
    <w:tmpl w:val="CE4CD828"/>
    <w:lvl w:ilvl="0" w:tplc="21203B04">
      <w:start w:val="1"/>
      <w:numFmt w:val="bullet"/>
      <w:lvlText w:val="•"/>
      <w:lvlJc w:val="left"/>
      <w:pPr>
        <w:tabs>
          <w:tab w:val="num" w:pos="720"/>
        </w:tabs>
        <w:ind w:left="720" w:hanging="360"/>
      </w:pPr>
      <w:rPr>
        <w:rFonts w:ascii="Arial" w:hAnsi="Arial" w:hint="default"/>
      </w:rPr>
    </w:lvl>
    <w:lvl w:ilvl="1" w:tplc="738A049C" w:tentative="1">
      <w:start w:val="1"/>
      <w:numFmt w:val="bullet"/>
      <w:lvlText w:val="•"/>
      <w:lvlJc w:val="left"/>
      <w:pPr>
        <w:tabs>
          <w:tab w:val="num" w:pos="1440"/>
        </w:tabs>
        <w:ind w:left="1440" w:hanging="360"/>
      </w:pPr>
      <w:rPr>
        <w:rFonts w:ascii="Arial" w:hAnsi="Arial" w:hint="default"/>
      </w:rPr>
    </w:lvl>
    <w:lvl w:ilvl="2" w:tplc="466297A0" w:tentative="1">
      <w:start w:val="1"/>
      <w:numFmt w:val="bullet"/>
      <w:lvlText w:val="•"/>
      <w:lvlJc w:val="left"/>
      <w:pPr>
        <w:tabs>
          <w:tab w:val="num" w:pos="2160"/>
        </w:tabs>
        <w:ind w:left="2160" w:hanging="360"/>
      </w:pPr>
      <w:rPr>
        <w:rFonts w:ascii="Arial" w:hAnsi="Arial" w:hint="default"/>
      </w:rPr>
    </w:lvl>
    <w:lvl w:ilvl="3" w:tplc="73FC23D4" w:tentative="1">
      <w:start w:val="1"/>
      <w:numFmt w:val="bullet"/>
      <w:lvlText w:val="•"/>
      <w:lvlJc w:val="left"/>
      <w:pPr>
        <w:tabs>
          <w:tab w:val="num" w:pos="2880"/>
        </w:tabs>
        <w:ind w:left="2880" w:hanging="360"/>
      </w:pPr>
      <w:rPr>
        <w:rFonts w:ascii="Arial" w:hAnsi="Arial" w:hint="default"/>
      </w:rPr>
    </w:lvl>
    <w:lvl w:ilvl="4" w:tplc="D946162E" w:tentative="1">
      <w:start w:val="1"/>
      <w:numFmt w:val="bullet"/>
      <w:lvlText w:val="•"/>
      <w:lvlJc w:val="left"/>
      <w:pPr>
        <w:tabs>
          <w:tab w:val="num" w:pos="3600"/>
        </w:tabs>
        <w:ind w:left="3600" w:hanging="360"/>
      </w:pPr>
      <w:rPr>
        <w:rFonts w:ascii="Arial" w:hAnsi="Arial" w:hint="default"/>
      </w:rPr>
    </w:lvl>
    <w:lvl w:ilvl="5" w:tplc="3E3C1032" w:tentative="1">
      <w:start w:val="1"/>
      <w:numFmt w:val="bullet"/>
      <w:lvlText w:val="•"/>
      <w:lvlJc w:val="left"/>
      <w:pPr>
        <w:tabs>
          <w:tab w:val="num" w:pos="4320"/>
        </w:tabs>
        <w:ind w:left="4320" w:hanging="360"/>
      </w:pPr>
      <w:rPr>
        <w:rFonts w:ascii="Arial" w:hAnsi="Arial" w:hint="default"/>
      </w:rPr>
    </w:lvl>
    <w:lvl w:ilvl="6" w:tplc="B66E311C" w:tentative="1">
      <w:start w:val="1"/>
      <w:numFmt w:val="bullet"/>
      <w:lvlText w:val="•"/>
      <w:lvlJc w:val="left"/>
      <w:pPr>
        <w:tabs>
          <w:tab w:val="num" w:pos="5040"/>
        </w:tabs>
        <w:ind w:left="5040" w:hanging="360"/>
      </w:pPr>
      <w:rPr>
        <w:rFonts w:ascii="Arial" w:hAnsi="Arial" w:hint="default"/>
      </w:rPr>
    </w:lvl>
    <w:lvl w:ilvl="7" w:tplc="86E0DC24" w:tentative="1">
      <w:start w:val="1"/>
      <w:numFmt w:val="bullet"/>
      <w:lvlText w:val="•"/>
      <w:lvlJc w:val="left"/>
      <w:pPr>
        <w:tabs>
          <w:tab w:val="num" w:pos="5760"/>
        </w:tabs>
        <w:ind w:left="5760" w:hanging="360"/>
      </w:pPr>
      <w:rPr>
        <w:rFonts w:ascii="Arial" w:hAnsi="Arial" w:hint="default"/>
      </w:rPr>
    </w:lvl>
    <w:lvl w:ilvl="8" w:tplc="E98A0D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746CCE"/>
    <w:multiLevelType w:val="multilevel"/>
    <w:tmpl w:val="BA0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542A9"/>
    <w:multiLevelType w:val="multilevel"/>
    <w:tmpl w:val="2AB0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3"/>
  </w:num>
  <w:num w:numId="4">
    <w:abstractNumId w:val="2"/>
  </w:num>
  <w:num w:numId="5">
    <w:abstractNumId w:val="7"/>
  </w:num>
  <w:num w:numId="6">
    <w:abstractNumId w:val="13"/>
  </w:num>
  <w:num w:numId="7">
    <w:abstractNumId w:val="5"/>
  </w:num>
  <w:num w:numId="8">
    <w:abstractNumId w:val="8"/>
  </w:num>
  <w:num w:numId="9">
    <w:abstractNumId w:val="17"/>
  </w:num>
  <w:num w:numId="10">
    <w:abstractNumId w:val="22"/>
  </w:num>
  <w:num w:numId="11">
    <w:abstractNumId w:val="0"/>
  </w:num>
  <w:num w:numId="12">
    <w:abstractNumId w:val="1"/>
  </w:num>
  <w:num w:numId="13">
    <w:abstractNumId w:val="6"/>
  </w:num>
  <w:num w:numId="14">
    <w:abstractNumId w:val="14"/>
  </w:num>
  <w:num w:numId="15">
    <w:abstractNumId w:val="11"/>
  </w:num>
  <w:num w:numId="16">
    <w:abstractNumId w:val="4"/>
  </w:num>
  <w:num w:numId="17">
    <w:abstractNumId w:val="16"/>
  </w:num>
  <w:num w:numId="18">
    <w:abstractNumId w:val="12"/>
  </w:num>
  <w:num w:numId="19">
    <w:abstractNumId w:val="19"/>
  </w:num>
  <w:num w:numId="20">
    <w:abstractNumId w:val="9"/>
  </w:num>
  <w:num w:numId="21">
    <w:abstractNumId w:val="20"/>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I527W874L265P888"/>
    <w:docVar w:name="paperpile-doc-name" w:val="telemonitoring for COVID19 JMIR 160620 CP Edits.docx"/>
  </w:docVars>
  <w:rsids>
    <w:rsidRoot w:val="00A251AB"/>
    <w:rsid w:val="0000391D"/>
    <w:rsid w:val="000223E8"/>
    <w:rsid w:val="00026336"/>
    <w:rsid w:val="00037C24"/>
    <w:rsid w:val="000450E4"/>
    <w:rsid w:val="000522A8"/>
    <w:rsid w:val="000656A5"/>
    <w:rsid w:val="00067BED"/>
    <w:rsid w:val="00076CFD"/>
    <w:rsid w:val="00094DCF"/>
    <w:rsid w:val="000A223D"/>
    <w:rsid w:val="000A35B4"/>
    <w:rsid w:val="000A3ECA"/>
    <w:rsid w:val="000C2799"/>
    <w:rsid w:val="000D122B"/>
    <w:rsid w:val="000D5601"/>
    <w:rsid w:val="000D6D44"/>
    <w:rsid w:val="000D754A"/>
    <w:rsid w:val="000E0524"/>
    <w:rsid w:val="000F1984"/>
    <w:rsid w:val="001019D9"/>
    <w:rsid w:val="00102A06"/>
    <w:rsid w:val="00106793"/>
    <w:rsid w:val="00112E7A"/>
    <w:rsid w:val="00113E7E"/>
    <w:rsid w:val="00121BDB"/>
    <w:rsid w:val="001224FA"/>
    <w:rsid w:val="00122B44"/>
    <w:rsid w:val="00125752"/>
    <w:rsid w:val="00126E00"/>
    <w:rsid w:val="00134C7F"/>
    <w:rsid w:val="001375AC"/>
    <w:rsid w:val="001424FD"/>
    <w:rsid w:val="00144B79"/>
    <w:rsid w:val="00147F3F"/>
    <w:rsid w:val="00150835"/>
    <w:rsid w:val="001618D8"/>
    <w:rsid w:val="00180905"/>
    <w:rsid w:val="0018733B"/>
    <w:rsid w:val="00187831"/>
    <w:rsid w:val="00195C7D"/>
    <w:rsid w:val="0019610C"/>
    <w:rsid w:val="00196BA2"/>
    <w:rsid w:val="001D7D52"/>
    <w:rsid w:val="001F0AD3"/>
    <w:rsid w:val="001F0D6A"/>
    <w:rsid w:val="001F3620"/>
    <w:rsid w:val="00200A6F"/>
    <w:rsid w:val="00202337"/>
    <w:rsid w:val="00203AB8"/>
    <w:rsid w:val="00215409"/>
    <w:rsid w:val="00217D78"/>
    <w:rsid w:val="00220466"/>
    <w:rsid w:val="00241397"/>
    <w:rsid w:val="002431CF"/>
    <w:rsid w:val="00246844"/>
    <w:rsid w:val="00251C48"/>
    <w:rsid w:val="00254955"/>
    <w:rsid w:val="00256A70"/>
    <w:rsid w:val="00260A7C"/>
    <w:rsid w:val="00260ED6"/>
    <w:rsid w:val="0026489A"/>
    <w:rsid w:val="00270A36"/>
    <w:rsid w:val="002714B6"/>
    <w:rsid w:val="00272A95"/>
    <w:rsid w:val="00285738"/>
    <w:rsid w:val="0029117E"/>
    <w:rsid w:val="002A5DA0"/>
    <w:rsid w:val="002A6118"/>
    <w:rsid w:val="002B0AF4"/>
    <w:rsid w:val="002B483C"/>
    <w:rsid w:val="002B4E3C"/>
    <w:rsid w:val="002B6A29"/>
    <w:rsid w:val="002F5B67"/>
    <w:rsid w:val="002F5CE0"/>
    <w:rsid w:val="002F613F"/>
    <w:rsid w:val="00316C45"/>
    <w:rsid w:val="00317240"/>
    <w:rsid w:val="0032711B"/>
    <w:rsid w:val="0032767F"/>
    <w:rsid w:val="00335D63"/>
    <w:rsid w:val="003365D2"/>
    <w:rsid w:val="0033685D"/>
    <w:rsid w:val="003372A4"/>
    <w:rsid w:val="003421B2"/>
    <w:rsid w:val="00345F8F"/>
    <w:rsid w:val="00346AC1"/>
    <w:rsid w:val="00346D37"/>
    <w:rsid w:val="00347AAE"/>
    <w:rsid w:val="00347C81"/>
    <w:rsid w:val="00350B98"/>
    <w:rsid w:val="00360896"/>
    <w:rsid w:val="00374D5A"/>
    <w:rsid w:val="00382772"/>
    <w:rsid w:val="003A1D42"/>
    <w:rsid w:val="003A6279"/>
    <w:rsid w:val="003A6283"/>
    <w:rsid w:val="003A74C8"/>
    <w:rsid w:val="003C0629"/>
    <w:rsid w:val="003D1144"/>
    <w:rsid w:val="003D61C6"/>
    <w:rsid w:val="003D7AEB"/>
    <w:rsid w:val="003E2546"/>
    <w:rsid w:val="003F31D6"/>
    <w:rsid w:val="003F6F40"/>
    <w:rsid w:val="003F7DD2"/>
    <w:rsid w:val="0040599B"/>
    <w:rsid w:val="004139CA"/>
    <w:rsid w:val="0041670D"/>
    <w:rsid w:val="00461609"/>
    <w:rsid w:val="00466EBA"/>
    <w:rsid w:val="00480F21"/>
    <w:rsid w:val="004A1E71"/>
    <w:rsid w:val="004A3DE6"/>
    <w:rsid w:val="004B20C1"/>
    <w:rsid w:val="004C4F0A"/>
    <w:rsid w:val="004E3EF2"/>
    <w:rsid w:val="004E3FCE"/>
    <w:rsid w:val="004F103F"/>
    <w:rsid w:val="004F6967"/>
    <w:rsid w:val="005012E3"/>
    <w:rsid w:val="00502621"/>
    <w:rsid w:val="00517BEF"/>
    <w:rsid w:val="00520571"/>
    <w:rsid w:val="00526446"/>
    <w:rsid w:val="00542A77"/>
    <w:rsid w:val="00542CD8"/>
    <w:rsid w:val="0054653D"/>
    <w:rsid w:val="00547DDF"/>
    <w:rsid w:val="00553409"/>
    <w:rsid w:val="00553CAC"/>
    <w:rsid w:val="00556216"/>
    <w:rsid w:val="00574006"/>
    <w:rsid w:val="00576275"/>
    <w:rsid w:val="005804FF"/>
    <w:rsid w:val="005B6D13"/>
    <w:rsid w:val="005C4F34"/>
    <w:rsid w:val="005D383A"/>
    <w:rsid w:val="005E5723"/>
    <w:rsid w:val="005E7517"/>
    <w:rsid w:val="00616248"/>
    <w:rsid w:val="0062633D"/>
    <w:rsid w:val="00633C22"/>
    <w:rsid w:val="006374FD"/>
    <w:rsid w:val="00643440"/>
    <w:rsid w:val="00643500"/>
    <w:rsid w:val="00651D4E"/>
    <w:rsid w:val="006577B3"/>
    <w:rsid w:val="00664FAF"/>
    <w:rsid w:val="00666CF9"/>
    <w:rsid w:val="00672A16"/>
    <w:rsid w:val="00677BBE"/>
    <w:rsid w:val="00677EAC"/>
    <w:rsid w:val="00683D74"/>
    <w:rsid w:val="0068772B"/>
    <w:rsid w:val="006904B7"/>
    <w:rsid w:val="006937D8"/>
    <w:rsid w:val="006950C8"/>
    <w:rsid w:val="00695ADC"/>
    <w:rsid w:val="00696933"/>
    <w:rsid w:val="00696AB4"/>
    <w:rsid w:val="006A0EA6"/>
    <w:rsid w:val="006A516B"/>
    <w:rsid w:val="006A7267"/>
    <w:rsid w:val="006B5CD5"/>
    <w:rsid w:val="006B6A32"/>
    <w:rsid w:val="006C781C"/>
    <w:rsid w:val="006D78CC"/>
    <w:rsid w:val="006E6BCB"/>
    <w:rsid w:val="006E7535"/>
    <w:rsid w:val="00702644"/>
    <w:rsid w:val="00707BDB"/>
    <w:rsid w:val="0071149B"/>
    <w:rsid w:val="00713ABF"/>
    <w:rsid w:val="00721824"/>
    <w:rsid w:val="007227EA"/>
    <w:rsid w:val="007300DC"/>
    <w:rsid w:val="00732284"/>
    <w:rsid w:val="007338AB"/>
    <w:rsid w:val="007368C2"/>
    <w:rsid w:val="00761B43"/>
    <w:rsid w:val="00763C42"/>
    <w:rsid w:val="00765718"/>
    <w:rsid w:val="00766AEE"/>
    <w:rsid w:val="00777B14"/>
    <w:rsid w:val="007800CB"/>
    <w:rsid w:val="00780A58"/>
    <w:rsid w:val="00784327"/>
    <w:rsid w:val="00796D69"/>
    <w:rsid w:val="007A1BBA"/>
    <w:rsid w:val="007B2A11"/>
    <w:rsid w:val="007B787D"/>
    <w:rsid w:val="007C3185"/>
    <w:rsid w:val="007D1CA6"/>
    <w:rsid w:val="007D4E0D"/>
    <w:rsid w:val="007E2E95"/>
    <w:rsid w:val="007E51D7"/>
    <w:rsid w:val="007F1A95"/>
    <w:rsid w:val="007F4508"/>
    <w:rsid w:val="00800D39"/>
    <w:rsid w:val="00806F0C"/>
    <w:rsid w:val="00807034"/>
    <w:rsid w:val="00816C36"/>
    <w:rsid w:val="00827928"/>
    <w:rsid w:val="00837780"/>
    <w:rsid w:val="00842F6D"/>
    <w:rsid w:val="008473E8"/>
    <w:rsid w:val="00850D2B"/>
    <w:rsid w:val="0085258A"/>
    <w:rsid w:val="00860706"/>
    <w:rsid w:val="008655DD"/>
    <w:rsid w:val="00876735"/>
    <w:rsid w:val="00885F69"/>
    <w:rsid w:val="0089207E"/>
    <w:rsid w:val="008A0BFB"/>
    <w:rsid w:val="008A6A0B"/>
    <w:rsid w:val="008C0783"/>
    <w:rsid w:val="008C4148"/>
    <w:rsid w:val="008D4DFD"/>
    <w:rsid w:val="008D7FA3"/>
    <w:rsid w:val="008E30A2"/>
    <w:rsid w:val="0090153C"/>
    <w:rsid w:val="00913864"/>
    <w:rsid w:val="009304B0"/>
    <w:rsid w:val="00931E1B"/>
    <w:rsid w:val="00934BB5"/>
    <w:rsid w:val="00941F78"/>
    <w:rsid w:val="0095067E"/>
    <w:rsid w:val="00951DB8"/>
    <w:rsid w:val="0095703D"/>
    <w:rsid w:val="00961D0E"/>
    <w:rsid w:val="00966E7C"/>
    <w:rsid w:val="009869B0"/>
    <w:rsid w:val="0099040D"/>
    <w:rsid w:val="00992A90"/>
    <w:rsid w:val="009976D7"/>
    <w:rsid w:val="00997DA8"/>
    <w:rsid w:val="009A4F65"/>
    <w:rsid w:val="009A5E34"/>
    <w:rsid w:val="009B4719"/>
    <w:rsid w:val="009B48D8"/>
    <w:rsid w:val="009C0C71"/>
    <w:rsid w:val="009E01B7"/>
    <w:rsid w:val="009E0CB0"/>
    <w:rsid w:val="009E26C3"/>
    <w:rsid w:val="00A04D0F"/>
    <w:rsid w:val="00A1287B"/>
    <w:rsid w:val="00A15D73"/>
    <w:rsid w:val="00A20A32"/>
    <w:rsid w:val="00A251AB"/>
    <w:rsid w:val="00A3403A"/>
    <w:rsid w:val="00A67BD4"/>
    <w:rsid w:val="00A73AE0"/>
    <w:rsid w:val="00A848D1"/>
    <w:rsid w:val="00A90C5D"/>
    <w:rsid w:val="00A924D1"/>
    <w:rsid w:val="00A9795C"/>
    <w:rsid w:val="00AA3323"/>
    <w:rsid w:val="00AB2E7E"/>
    <w:rsid w:val="00AB4887"/>
    <w:rsid w:val="00AB4BE0"/>
    <w:rsid w:val="00AB7B77"/>
    <w:rsid w:val="00B00D1B"/>
    <w:rsid w:val="00B01E55"/>
    <w:rsid w:val="00B15DE2"/>
    <w:rsid w:val="00B17973"/>
    <w:rsid w:val="00B30192"/>
    <w:rsid w:val="00B42228"/>
    <w:rsid w:val="00B4371D"/>
    <w:rsid w:val="00B45D0C"/>
    <w:rsid w:val="00B46DF6"/>
    <w:rsid w:val="00B51DB3"/>
    <w:rsid w:val="00B549F2"/>
    <w:rsid w:val="00B57B79"/>
    <w:rsid w:val="00B75897"/>
    <w:rsid w:val="00B77B14"/>
    <w:rsid w:val="00B82519"/>
    <w:rsid w:val="00B90432"/>
    <w:rsid w:val="00B93732"/>
    <w:rsid w:val="00B9571D"/>
    <w:rsid w:val="00BB00F1"/>
    <w:rsid w:val="00BC63B5"/>
    <w:rsid w:val="00BD148B"/>
    <w:rsid w:val="00BE1EE1"/>
    <w:rsid w:val="00BE493B"/>
    <w:rsid w:val="00BE5F3D"/>
    <w:rsid w:val="00BF5A36"/>
    <w:rsid w:val="00C062FC"/>
    <w:rsid w:val="00C1172C"/>
    <w:rsid w:val="00C17C31"/>
    <w:rsid w:val="00C211D5"/>
    <w:rsid w:val="00C251E0"/>
    <w:rsid w:val="00C63416"/>
    <w:rsid w:val="00C71C42"/>
    <w:rsid w:val="00C72A73"/>
    <w:rsid w:val="00CA0C7F"/>
    <w:rsid w:val="00CB5FFE"/>
    <w:rsid w:val="00CF5863"/>
    <w:rsid w:val="00D10559"/>
    <w:rsid w:val="00D11D04"/>
    <w:rsid w:val="00D136EB"/>
    <w:rsid w:val="00D209DF"/>
    <w:rsid w:val="00D41A00"/>
    <w:rsid w:val="00D44C00"/>
    <w:rsid w:val="00D46BDB"/>
    <w:rsid w:val="00D56070"/>
    <w:rsid w:val="00D62E8F"/>
    <w:rsid w:val="00D648DC"/>
    <w:rsid w:val="00D654E2"/>
    <w:rsid w:val="00D705AF"/>
    <w:rsid w:val="00D76CB9"/>
    <w:rsid w:val="00D86B0C"/>
    <w:rsid w:val="00D86F5D"/>
    <w:rsid w:val="00D928EB"/>
    <w:rsid w:val="00DA3B6E"/>
    <w:rsid w:val="00DB0B11"/>
    <w:rsid w:val="00DB33F5"/>
    <w:rsid w:val="00DC4970"/>
    <w:rsid w:val="00DE6428"/>
    <w:rsid w:val="00DE6B98"/>
    <w:rsid w:val="00E065D6"/>
    <w:rsid w:val="00E21D64"/>
    <w:rsid w:val="00E24CA9"/>
    <w:rsid w:val="00E34CD6"/>
    <w:rsid w:val="00E357F9"/>
    <w:rsid w:val="00E41D0A"/>
    <w:rsid w:val="00E42B2D"/>
    <w:rsid w:val="00E43850"/>
    <w:rsid w:val="00E43AC0"/>
    <w:rsid w:val="00E4539F"/>
    <w:rsid w:val="00E650D7"/>
    <w:rsid w:val="00E65C37"/>
    <w:rsid w:val="00E72376"/>
    <w:rsid w:val="00E85132"/>
    <w:rsid w:val="00E96E07"/>
    <w:rsid w:val="00E9767A"/>
    <w:rsid w:val="00EA17EC"/>
    <w:rsid w:val="00EA6CA0"/>
    <w:rsid w:val="00EA7296"/>
    <w:rsid w:val="00EB180E"/>
    <w:rsid w:val="00EB5297"/>
    <w:rsid w:val="00EB6551"/>
    <w:rsid w:val="00EC42EC"/>
    <w:rsid w:val="00ED38B5"/>
    <w:rsid w:val="00ED5BDA"/>
    <w:rsid w:val="00EE1B62"/>
    <w:rsid w:val="00EF159E"/>
    <w:rsid w:val="00F010A8"/>
    <w:rsid w:val="00F05500"/>
    <w:rsid w:val="00F05D67"/>
    <w:rsid w:val="00F060CC"/>
    <w:rsid w:val="00F20ACB"/>
    <w:rsid w:val="00F22522"/>
    <w:rsid w:val="00F24C36"/>
    <w:rsid w:val="00F257A7"/>
    <w:rsid w:val="00F45D4B"/>
    <w:rsid w:val="00F51566"/>
    <w:rsid w:val="00F51E37"/>
    <w:rsid w:val="00F53964"/>
    <w:rsid w:val="00F66AC6"/>
    <w:rsid w:val="00F730B9"/>
    <w:rsid w:val="00F822CC"/>
    <w:rsid w:val="00F85457"/>
    <w:rsid w:val="00F92456"/>
    <w:rsid w:val="00FA0267"/>
    <w:rsid w:val="00FA404A"/>
    <w:rsid w:val="00FC0914"/>
    <w:rsid w:val="00FC20A8"/>
    <w:rsid w:val="00FC4705"/>
    <w:rsid w:val="00FC735B"/>
    <w:rsid w:val="00FD2F84"/>
    <w:rsid w:val="00FD4B5B"/>
    <w:rsid w:val="00FE1C11"/>
    <w:rsid w:val="00FE2289"/>
    <w:rsid w:val="00FE7ECF"/>
    <w:rsid w:val="00FF2C4C"/>
    <w:rsid w:val="00FF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9978"/>
  <w15:chartTrackingRefBased/>
  <w15:docId w15:val="{D5A3FDD4-BC41-4276-AD8A-52CA3C88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E3"/>
  </w:style>
  <w:style w:type="paragraph" w:styleId="Heading1">
    <w:name w:val="heading 1"/>
    <w:basedOn w:val="Normal"/>
    <w:next w:val="Normal"/>
    <w:link w:val="Heading1Char"/>
    <w:uiPriority w:val="9"/>
    <w:qFormat/>
    <w:rsid w:val="00763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72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4DFD"/>
    <w:pPr>
      <w:keepNext/>
      <w:keepLines/>
      <w:spacing w:before="40" w:after="0"/>
      <w:outlineLvl w:val="2"/>
    </w:pPr>
    <w:rPr>
      <w:rFonts w:eastAsiaTheme="majorEastAsia" w:cstheme="minorHAnsi"/>
      <w:b/>
      <w:sz w:val="24"/>
      <w:szCs w:val="24"/>
    </w:rPr>
  </w:style>
  <w:style w:type="paragraph" w:styleId="Heading4">
    <w:name w:val="heading 4"/>
    <w:basedOn w:val="Normal"/>
    <w:next w:val="Normal"/>
    <w:link w:val="Heading4Char"/>
    <w:uiPriority w:val="9"/>
    <w:unhideWhenUsed/>
    <w:qFormat/>
    <w:rsid w:val="008D4DFD"/>
    <w:pPr>
      <w:keepNext/>
      <w:keepLines/>
      <w:spacing w:before="40" w:after="0"/>
      <w:outlineLvl w:val="3"/>
    </w:pPr>
    <w:rPr>
      <w:rFonts w:eastAsiaTheme="majorEastAsia" w:cstheme="minorHAns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1AB"/>
    <w:rPr>
      <w:rFonts w:ascii="Segoe UI" w:hAnsi="Segoe UI" w:cs="Segoe UI"/>
      <w:sz w:val="18"/>
      <w:szCs w:val="18"/>
    </w:rPr>
  </w:style>
  <w:style w:type="character" w:customStyle="1" w:styleId="Heading3Char">
    <w:name w:val="Heading 3 Char"/>
    <w:basedOn w:val="DefaultParagraphFont"/>
    <w:link w:val="Heading3"/>
    <w:uiPriority w:val="9"/>
    <w:rsid w:val="008D4DFD"/>
    <w:rPr>
      <w:rFonts w:eastAsiaTheme="majorEastAsia" w:cstheme="minorHAnsi"/>
      <w:b/>
      <w:sz w:val="24"/>
      <w:szCs w:val="24"/>
    </w:rPr>
  </w:style>
  <w:style w:type="character" w:customStyle="1" w:styleId="Heading4Char">
    <w:name w:val="Heading 4 Char"/>
    <w:basedOn w:val="DefaultParagraphFont"/>
    <w:link w:val="Heading4"/>
    <w:uiPriority w:val="9"/>
    <w:rsid w:val="008D4DFD"/>
    <w:rPr>
      <w:rFonts w:eastAsiaTheme="majorEastAsia" w:cstheme="minorHAnsi"/>
      <w:b/>
      <w:i/>
      <w:iCs/>
    </w:rPr>
  </w:style>
  <w:style w:type="paragraph" w:styleId="CommentText">
    <w:name w:val="annotation text"/>
    <w:basedOn w:val="Normal"/>
    <w:link w:val="CommentTextChar"/>
    <w:uiPriority w:val="99"/>
    <w:unhideWhenUsed/>
    <w:rsid w:val="00196BA2"/>
    <w:pPr>
      <w:spacing w:line="240" w:lineRule="auto"/>
    </w:pPr>
    <w:rPr>
      <w:sz w:val="20"/>
      <w:szCs w:val="20"/>
    </w:rPr>
  </w:style>
  <w:style w:type="character" w:customStyle="1" w:styleId="CommentTextChar">
    <w:name w:val="Comment Text Char"/>
    <w:basedOn w:val="DefaultParagraphFont"/>
    <w:link w:val="CommentText"/>
    <w:uiPriority w:val="99"/>
    <w:rsid w:val="00196BA2"/>
    <w:rPr>
      <w:sz w:val="20"/>
      <w:szCs w:val="20"/>
    </w:rPr>
  </w:style>
  <w:style w:type="paragraph" w:customStyle="1" w:styleId="citation-authorstring">
    <w:name w:val="citation-authorstring"/>
    <w:basedOn w:val="Normal"/>
    <w:rsid w:val="00196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196BA2"/>
    <w:rPr>
      <w:vertAlign w:val="superscript"/>
    </w:rPr>
  </w:style>
  <w:style w:type="character" w:styleId="CommentReference">
    <w:name w:val="annotation reference"/>
    <w:basedOn w:val="DefaultParagraphFont"/>
    <w:uiPriority w:val="99"/>
    <w:semiHidden/>
    <w:unhideWhenUsed/>
    <w:rsid w:val="00374D5A"/>
    <w:rPr>
      <w:sz w:val="16"/>
      <w:szCs w:val="16"/>
    </w:rPr>
  </w:style>
  <w:style w:type="paragraph" w:styleId="CommentSubject">
    <w:name w:val="annotation subject"/>
    <w:basedOn w:val="CommentText"/>
    <w:next w:val="CommentText"/>
    <w:link w:val="CommentSubjectChar"/>
    <w:uiPriority w:val="99"/>
    <w:semiHidden/>
    <w:unhideWhenUsed/>
    <w:rsid w:val="00374D5A"/>
    <w:rPr>
      <w:b/>
      <w:bCs/>
    </w:rPr>
  </w:style>
  <w:style w:type="character" w:customStyle="1" w:styleId="CommentSubjectChar">
    <w:name w:val="Comment Subject Char"/>
    <w:basedOn w:val="CommentTextChar"/>
    <w:link w:val="CommentSubject"/>
    <w:uiPriority w:val="99"/>
    <w:semiHidden/>
    <w:rsid w:val="00374D5A"/>
    <w:rPr>
      <w:b/>
      <w:bCs/>
      <w:sz w:val="20"/>
      <w:szCs w:val="20"/>
    </w:rPr>
  </w:style>
  <w:style w:type="paragraph" w:styleId="PlainText">
    <w:name w:val="Plain Text"/>
    <w:basedOn w:val="Normal"/>
    <w:link w:val="PlainTextChar"/>
    <w:uiPriority w:val="99"/>
    <w:unhideWhenUsed/>
    <w:rsid w:val="00374D5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74D5A"/>
    <w:rPr>
      <w:rFonts w:ascii="Calibri" w:hAnsi="Calibri"/>
      <w:szCs w:val="21"/>
    </w:rPr>
  </w:style>
  <w:style w:type="paragraph" w:styleId="EndnoteText">
    <w:name w:val="endnote text"/>
    <w:basedOn w:val="Normal"/>
    <w:link w:val="EndnoteTextChar"/>
    <w:uiPriority w:val="99"/>
    <w:semiHidden/>
    <w:unhideWhenUsed/>
    <w:rsid w:val="00374D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D5A"/>
    <w:rPr>
      <w:sz w:val="20"/>
      <w:szCs w:val="20"/>
    </w:rPr>
  </w:style>
  <w:style w:type="character" w:styleId="Hyperlink">
    <w:name w:val="Hyperlink"/>
    <w:basedOn w:val="DefaultParagraphFont"/>
    <w:uiPriority w:val="99"/>
    <w:unhideWhenUsed/>
    <w:rsid w:val="00374D5A"/>
    <w:rPr>
      <w:color w:val="0000FF"/>
      <w:u w:val="single"/>
    </w:rPr>
  </w:style>
  <w:style w:type="table" w:styleId="TableGrid">
    <w:name w:val="Table Grid"/>
    <w:basedOn w:val="TableNormal"/>
    <w:uiPriority w:val="39"/>
    <w:rsid w:val="0067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CA0"/>
    <w:pPr>
      <w:ind w:left="720"/>
      <w:contextualSpacing/>
    </w:pPr>
  </w:style>
  <w:style w:type="character" w:customStyle="1" w:styleId="UnresolvedMention1">
    <w:name w:val="Unresolved Mention1"/>
    <w:basedOn w:val="DefaultParagraphFont"/>
    <w:uiPriority w:val="99"/>
    <w:semiHidden/>
    <w:unhideWhenUsed/>
    <w:rsid w:val="00E72376"/>
    <w:rPr>
      <w:color w:val="605E5C"/>
      <w:shd w:val="clear" w:color="auto" w:fill="E1DFDD"/>
    </w:rPr>
  </w:style>
  <w:style w:type="paragraph" w:styleId="Header">
    <w:name w:val="header"/>
    <w:basedOn w:val="Normal"/>
    <w:link w:val="HeaderChar"/>
    <w:uiPriority w:val="99"/>
    <w:unhideWhenUsed/>
    <w:rsid w:val="00122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4FA"/>
  </w:style>
  <w:style w:type="paragraph" w:styleId="Footer">
    <w:name w:val="footer"/>
    <w:basedOn w:val="Normal"/>
    <w:link w:val="FooterChar"/>
    <w:uiPriority w:val="99"/>
    <w:unhideWhenUsed/>
    <w:rsid w:val="00122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4FA"/>
  </w:style>
  <w:style w:type="paragraph" w:styleId="Revision">
    <w:name w:val="Revision"/>
    <w:hidden/>
    <w:uiPriority w:val="99"/>
    <w:semiHidden/>
    <w:rsid w:val="00992A90"/>
    <w:pPr>
      <w:spacing w:after="0" w:line="240" w:lineRule="auto"/>
    </w:pPr>
  </w:style>
  <w:style w:type="character" w:customStyle="1" w:styleId="apple-converted-space">
    <w:name w:val="apple-converted-space"/>
    <w:basedOn w:val="DefaultParagraphFont"/>
    <w:rsid w:val="00F05D67"/>
  </w:style>
  <w:style w:type="character" w:styleId="Emphasis">
    <w:name w:val="Emphasis"/>
    <w:basedOn w:val="DefaultParagraphFont"/>
    <w:uiPriority w:val="20"/>
    <w:qFormat/>
    <w:rsid w:val="00F05D67"/>
    <w:rPr>
      <w:i/>
      <w:iCs/>
    </w:rPr>
  </w:style>
  <w:style w:type="character" w:customStyle="1" w:styleId="UnresolvedMention2">
    <w:name w:val="Unresolved Mention2"/>
    <w:basedOn w:val="DefaultParagraphFont"/>
    <w:uiPriority w:val="99"/>
    <w:semiHidden/>
    <w:unhideWhenUsed/>
    <w:rsid w:val="00520571"/>
    <w:rPr>
      <w:color w:val="605E5C"/>
      <w:shd w:val="clear" w:color="auto" w:fill="E1DFDD"/>
    </w:rPr>
  </w:style>
  <w:style w:type="character" w:customStyle="1" w:styleId="highwire-cite-authors">
    <w:name w:val="highwire-cite-authors"/>
    <w:basedOn w:val="DefaultParagraphFont"/>
    <w:rsid w:val="00547DDF"/>
  </w:style>
  <w:style w:type="character" w:customStyle="1" w:styleId="nlm-surname">
    <w:name w:val="nlm-surname"/>
    <w:basedOn w:val="DefaultParagraphFont"/>
    <w:rsid w:val="00547DDF"/>
  </w:style>
  <w:style w:type="character" w:customStyle="1" w:styleId="nlm-given-names">
    <w:name w:val="nlm-given-names"/>
    <w:basedOn w:val="DefaultParagraphFont"/>
    <w:rsid w:val="00547DDF"/>
  </w:style>
  <w:style w:type="character" w:customStyle="1" w:styleId="highwire-cite-title">
    <w:name w:val="highwire-cite-title"/>
    <w:basedOn w:val="DefaultParagraphFont"/>
    <w:rsid w:val="00547DDF"/>
  </w:style>
  <w:style w:type="character" w:customStyle="1" w:styleId="highwire-cite-metadata-journal">
    <w:name w:val="highwire-cite-metadata-journal"/>
    <w:basedOn w:val="DefaultParagraphFont"/>
    <w:rsid w:val="00547DDF"/>
  </w:style>
  <w:style w:type="character" w:customStyle="1" w:styleId="highwire-cite-metadata-date">
    <w:name w:val="highwire-cite-metadata-date"/>
    <w:basedOn w:val="DefaultParagraphFont"/>
    <w:rsid w:val="00547DDF"/>
  </w:style>
  <w:style w:type="character" w:customStyle="1" w:styleId="highwire-cite-metadata-volume">
    <w:name w:val="highwire-cite-metadata-volume"/>
    <w:basedOn w:val="DefaultParagraphFont"/>
    <w:rsid w:val="00547DDF"/>
  </w:style>
  <w:style w:type="character" w:styleId="FollowedHyperlink">
    <w:name w:val="FollowedHyperlink"/>
    <w:basedOn w:val="DefaultParagraphFont"/>
    <w:uiPriority w:val="99"/>
    <w:semiHidden/>
    <w:unhideWhenUsed/>
    <w:rsid w:val="000E0524"/>
    <w:rPr>
      <w:color w:val="954F72" w:themeColor="followedHyperlink"/>
      <w:u w:val="single"/>
    </w:rPr>
  </w:style>
  <w:style w:type="character" w:customStyle="1" w:styleId="highwire-cite-doi">
    <w:name w:val="highwire-cite-doi"/>
    <w:basedOn w:val="DefaultParagraphFont"/>
    <w:rsid w:val="009976D7"/>
  </w:style>
  <w:style w:type="character" w:customStyle="1" w:styleId="id-label">
    <w:name w:val="id-label"/>
    <w:basedOn w:val="DefaultParagraphFont"/>
    <w:rsid w:val="00FA404A"/>
  </w:style>
  <w:style w:type="character" w:styleId="Strong">
    <w:name w:val="Strong"/>
    <w:basedOn w:val="DefaultParagraphFont"/>
    <w:uiPriority w:val="22"/>
    <w:qFormat/>
    <w:rsid w:val="00FA404A"/>
    <w:rPr>
      <w:b/>
      <w:bCs/>
    </w:rPr>
  </w:style>
  <w:style w:type="character" w:customStyle="1" w:styleId="citation-part">
    <w:name w:val="citation-part"/>
    <w:basedOn w:val="DefaultParagraphFont"/>
    <w:rsid w:val="00F20ACB"/>
  </w:style>
  <w:style w:type="character" w:customStyle="1" w:styleId="docsum-pmid">
    <w:name w:val="docsum-pmid"/>
    <w:basedOn w:val="DefaultParagraphFont"/>
    <w:rsid w:val="00F20ACB"/>
  </w:style>
  <w:style w:type="character" w:styleId="LineNumber">
    <w:name w:val="line number"/>
    <w:basedOn w:val="DefaultParagraphFont"/>
    <w:uiPriority w:val="99"/>
    <w:semiHidden/>
    <w:unhideWhenUsed/>
    <w:rsid w:val="00CA0C7F"/>
  </w:style>
  <w:style w:type="character" w:customStyle="1" w:styleId="Heading1Char">
    <w:name w:val="Heading 1 Char"/>
    <w:basedOn w:val="DefaultParagraphFont"/>
    <w:link w:val="Heading1"/>
    <w:uiPriority w:val="9"/>
    <w:rsid w:val="00763C42"/>
    <w:rPr>
      <w:rFonts w:asciiTheme="majorHAnsi" w:eastAsiaTheme="majorEastAsia" w:hAnsiTheme="majorHAnsi" w:cstheme="majorBidi"/>
      <w:color w:val="2F5496" w:themeColor="accent1" w:themeShade="BF"/>
      <w:sz w:val="32"/>
      <w:szCs w:val="32"/>
    </w:rPr>
  </w:style>
  <w:style w:type="character" w:customStyle="1" w:styleId="titledefault">
    <w:name w:val="title_default"/>
    <w:basedOn w:val="DefaultParagraphFont"/>
    <w:rsid w:val="00763C42"/>
  </w:style>
  <w:style w:type="character" w:customStyle="1" w:styleId="sr-only">
    <w:name w:val="sr-only"/>
    <w:basedOn w:val="DefaultParagraphFont"/>
    <w:rsid w:val="00763C42"/>
  </w:style>
  <w:style w:type="paragraph" w:customStyle="1" w:styleId="m-article-headerauthorsgroup">
    <w:name w:val="m-article-header__authors__group"/>
    <w:basedOn w:val="Normal"/>
    <w:rsid w:val="00763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1">
    <w:name w:val="Subtitle1"/>
    <w:basedOn w:val="DefaultParagraphFont"/>
    <w:rsid w:val="00763C42"/>
  </w:style>
  <w:style w:type="character" w:customStyle="1" w:styleId="colon-for-citation-subtitle">
    <w:name w:val="colon-for-citation-subtitle"/>
    <w:basedOn w:val="DefaultParagraphFont"/>
    <w:rsid w:val="00763C42"/>
  </w:style>
  <w:style w:type="paragraph" w:styleId="z-TopofForm">
    <w:name w:val="HTML Top of Form"/>
    <w:basedOn w:val="Normal"/>
    <w:next w:val="Normal"/>
    <w:link w:val="z-TopofFormChar"/>
    <w:hidden/>
    <w:uiPriority w:val="99"/>
    <w:semiHidden/>
    <w:unhideWhenUsed/>
    <w:rsid w:val="0095703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5703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5703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5703D"/>
    <w:rPr>
      <w:rFonts w:ascii="Arial" w:eastAsia="Times New Roman" w:hAnsi="Arial" w:cs="Arial"/>
      <w:vanish/>
      <w:sz w:val="16"/>
      <w:szCs w:val="16"/>
      <w:lang w:eastAsia="en-GB"/>
    </w:rPr>
  </w:style>
  <w:style w:type="paragraph" w:styleId="NormalWeb">
    <w:name w:val="Normal (Web)"/>
    <w:basedOn w:val="Normal"/>
    <w:uiPriority w:val="99"/>
    <w:semiHidden/>
    <w:unhideWhenUsed/>
    <w:rsid w:val="005B6D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50B9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5067E"/>
    <w:rPr>
      <w:color w:val="605E5C"/>
      <w:shd w:val="clear" w:color="auto" w:fill="E1DFDD"/>
    </w:rPr>
  </w:style>
  <w:style w:type="character" w:customStyle="1" w:styleId="Heading2Char">
    <w:name w:val="Heading 2 Char"/>
    <w:basedOn w:val="DefaultParagraphFont"/>
    <w:link w:val="Heading2"/>
    <w:uiPriority w:val="9"/>
    <w:semiHidden/>
    <w:rsid w:val="006A7267"/>
    <w:rPr>
      <w:rFonts w:asciiTheme="majorHAnsi" w:eastAsiaTheme="majorEastAsia" w:hAnsiTheme="majorHAnsi" w:cstheme="majorBidi"/>
      <w:color w:val="2F5496" w:themeColor="accent1" w:themeShade="BF"/>
      <w:sz w:val="26"/>
      <w:szCs w:val="26"/>
    </w:rPr>
  </w:style>
  <w:style w:type="character" w:customStyle="1" w:styleId="cit">
    <w:name w:val="cit"/>
    <w:basedOn w:val="DefaultParagraphFont"/>
    <w:rsid w:val="00913864"/>
  </w:style>
  <w:style w:type="character" w:customStyle="1" w:styleId="citation-doi">
    <w:name w:val="citation-doi"/>
    <w:basedOn w:val="DefaultParagraphFont"/>
    <w:rsid w:val="00913864"/>
  </w:style>
  <w:style w:type="character" w:customStyle="1" w:styleId="identifier">
    <w:name w:val="identifier"/>
    <w:basedOn w:val="DefaultParagraphFont"/>
    <w:rsid w:val="00913864"/>
  </w:style>
  <w:style w:type="character" w:customStyle="1" w:styleId="highwire-citation-authors">
    <w:name w:val="highwire-citation-authors"/>
    <w:basedOn w:val="DefaultParagraphFont"/>
    <w:rsid w:val="0062633D"/>
  </w:style>
  <w:style w:type="character" w:customStyle="1" w:styleId="highwire-citation-author">
    <w:name w:val="highwire-citation-author"/>
    <w:basedOn w:val="DefaultParagraphFont"/>
    <w:rsid w:val="0062633D"/>
  </w:style>
  <w:style w:type="character" w:customStyle="1" w:styleId="citation-et">
    <w:name w:val="citation-et"/>
    <w:basedOn w:val="DefaultParagraphFont"/>
    <w:rsid w:val="0062633D"/>
  </w:style>
  <w:style w:type="character" w:customStyle="1" w:styleId="highwire-cite-metadata-year">
    <w:name w:val="highwire-cite-metadata-year"/>
    <w:basedOn w:val="DefaultParagraphFont"/>
    <w:rsid w:val="0062633D"/>
  </w:style>
  <w:style w:type="character" w:customStyle="1" w:styleId="highwire-cite-metadata-elocation-id">
    <w:name w:val="highwire-cite-metadata-elocation-id"/>
    <w:basedOn w:val="DefaultParagraphFont"/>
    <w:rsid w:val="0062633D"/>
  </w:style>
  <w:style w:type="character" w:customStyle="1" w:styleId="highwire-cite-metadata-doi">
    <w:name w:val="highwire-cite-metadata-doi"/>
    <w:basedOn w:val="DefaultParagraphFont"/>
    <w:rsid w:val="0062633D"/>
  </w:style>
  <w:style w:type="character" w:customStyle="1" w:styleId="label">
    <w:name w:val="label"/>
    <w:basedOn w:val="DefaultParagraphFont"/>
    <w:rsid w:val="0062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3321">
      <w:bodyDiv w:val="1"/>
      <w:marLeft w:val="0"/>
      <w:marRight w:val="0"/>
      <w:marTop w:val="0"/>
      <w:marBottom w:val="0"/>
      <w:divBdr>
        <w:top w:val="none" w:sz="0" w:space="0" w:color="auto"/>
        <w:left w:val="none" w:sz="0" w:space="0" w:color="auto"/>
        <w:bottom w:val="none" w:sz="0" w:space="0" w:color="auto"/>
        <w:right w:val="none" w:sz="0" w:space="0" w:color="auto"/>
      </w:divBdr>
    </w:div>
    <w:div w:id="121193116">
      <w:bodyDiv w:val="1"/>
      <w:marLeft w:val="0"/>
      <w:marRight w:val="0"/>
      <w:marTop w:val="0"/>
      <w:marBottom w:val="0"/>
      <w:divBdr>
        <w:top w:val="none" w:sz="0" w:space="0" w:color="auto"/>
        <w:left w:val="none" w:sz="0" w:space="0" w:color="auto"/>
        <w:bottom w:val="none" w:sz="0" w:space="0" w:color="auto"/>
        <w:right w:val="none" w:sz="0" w:space="0" w:color="auto"/>
      </w:divBdr>
    </w:div>
    <w:div w:id="123890263">
      <w:bodyDiv w:val="1"/>
      <w:marLeft w:val="0"/>
      <w:marRight w:val="0"/>
      <w:marTop w:val="0"/>
      <w:marBottom w:val="0"/>
      <w:divBdr>
        <w:top w:val="none" w:sz="0" w:space="0" w:color="auto"/>
        <w:left w:val="none" w:sz="0" w:space="0" w:color="auto"/>
        <w:bottom w:val="none" w:sz="0" w:space="0" w:color="auto"/>
        <w:right w:val="none" w:sz="0" w:space="0" w:color="auto"/>
      </w:divBdr>
    </w:div>
    <w:div w:id="147599867">
      <w:bodyDiv w:val="1"/>
      <w:marLeft w:val="0"/>
      <w:marRight w:val="0"/>
      <w:marTop w:val="0"/>
      <w:marBottom w:val="0"/>
      <w:divBdr>
        <w:top w:val="none" w:sz="0" w:space="0" w:color="auto"/>
        <w:left w:val="none" w:sz="0" w:space="0" w:color="auto"/>
        <w:bottom w:val="none" w:sz="0" w:space="0" w:color="auto"/>
        <w:right w:val="none" w:sz="0" w:space="0" w:color="auto"/>
      </w:divBdr>
    </w:div>
    <w:div w:id="331177607">
      <w:bodyDiv w:val="1"/>
      <w:marLeft w:val="0"/>
      <w:marRight w:val="0"/>
      <w:marTop w:val="0"/>
      <w:marBottom w:val="0"/>
      <w:divBdr>
        <w:top w:val="none" w:sz="0" w:space="0" w:color="auto"/>
        <w:left w:val="none" w:sz="0" w:space="0" w:color="auto"/>
        <w:bottom w:val="none" w:sz="0" w:space="0" w:color="auto"/>
        <w:right w:val="none" w:sz="0" w:space="0" w:color="auto"/>
      </w:divBdr>
    </w:div>
    <w:div w:id="364796348">
      <w:bodyDiv w:val="1"/>
      <w:marLeft w:val="0"/>
      <w:marRight w:val="0"/>
      <w:marTop w:val="0"/>
      <w:marBottom w:val="0"/>
      <w:divBdr>
        <w:top w:val="none" w:sz="0" w:space="0" w:color="auto"/>
        <w:left w:val="none" w:sz="0" w:space="0" w:color="auto"/>
        <w:bottom w:val="none" w:sz="0" w:space="0" w:color="auto"/>
        <w:right w:val="none" w:sz="0" w:space="0" w:color="auto"/>
      </w:divBdr>
    </w:div>
    <w:div w:id="383019255">
      <w:bodyDiv w:val="1"/>
      <w:marLeft w:val="0"/>
      <w:marRight w:val="0"/>
      <w:marTop w:val="0"/>
      <w:marBottom w:val="0"/>
      <w:divBdr>
        <w:top w:val="none" w:sz="0" w:space="0" w:color="auto"/>
        <w:left w:val="none" w:sz="0" w:space="0" w:color="auto"/>
        <w:bottom w:val="none" w:sz="0" w:space="0" w:color="auto"/>
        <w:right w:val="none" w:sz="0" w:space="0" w:color="auto"/>
      </w:divBdr>
    </w:div>
    <w:div w:id="487018459">
      <w:bodyDiv w:val="1"/>
      <w:marLeft w:val="0"/>
      <w:marRight w:val="0"/>
      <w:marTop w:val="0"/>
      <w:marBottom w:val="0"/>
      <w:divBdr>
        <w:top w:val="none" w:sz="0" w:space="0" w:color="auto"/>
        <w:left w:val="none" w:sz="0" w:space="0" w:color="auto"/>
        <w:bottom w:val="none" w:sz="0" w:space="0" w:color="auto"/>
        <w:right w:val="none" w:sz="0" w:space="0" w:color="auto"/>
      </w:divBdr>
    </w:div>
    <w:div w:id="496966463">
      <w:bodyDiv w:val="1"/>
      <w:marLeft w:val="0"/>
      <w:marRight w:val="0"/>
      <w:marTop w:val="0"/>
      <w:marBottom w:val="0"/>
      <w:divBdr>
        <w:top w:val="none" w:sz="0" w:space="0" w:color="auto"/>
        <w:left w:val="none" w:sz="0" w:space="0" w:color="auto"/>
        <w:bottom w:val="none" w:sz="0" w:space="0" w:color="auto"/>
        <w:right w:val="none" w:sz="0" w:space="0" w:color="auto"/>
      </w:divBdr>
    </w:div>
    <w:div w:id="515078513">
      <w:bodyDiv w:val="1"/>
      <w:marLeft w:val="0"/>
      <w:marRight w:val="0"/>
      <w:marTop w:val="0"/>
      <w:marBottom w:val="0"/>
      <w:divBdr>
        <w:top w:val="none" w:sz="0" w:space="0" w:color="auto"/>
        <w:left w:val="none" w:sz="0" w:space="0" w:color="auto"/>
        <w:bottom w:val="none" w:sz="0" w:space="0" w:color="auto"/>
        <w:right w:val="none" w:sz="0" w:space="0" w:color="auto"/>
      </w:divBdr>
      <w:divsChild>
        <w:div w:id="529270444">
          <w:marLeft w:val="360"/>
          <w:marRight w:val="0"/>
          <w:marTop w:val="200"/>
          <w:marBottom w:val="0"/>
          <w:divBdr>
            <w:top w:val="none" w:sz="0" w:space="0" w:color="auto"/>
            <w:left w:val="none" w:sz="0" w:space="0" w:color="auto"/>
            <w:bottom w:val="none" w:sz="0" w:space="0" w:color="auto"/>
            <w:right w:val="none" w:sz="0" w:space="0" w:color="auto"/>
          </w:divBdr>
        </w:div>
        <w:div w:id="1168249468">
          <w:marLeft w:val="360"/>
          <w:marRight w:val="0"/>
          <w:marTop w:val="200"/>
          <w:marBottom w:val="0"/>
          <w:divBdr>
            <w:top w:val="none" w:sz="0" w:space="0" w:color="auto"/>
            <w:left w:val="none" w:sz="0" w:space="0" w:color="auto"/>
            <w:bottom w:val="none" w:sz="0" w:space="0" w:color="auto"/>
            <w:right w:val="none" w:sz="0" w:space="0" w:color="auto"/>
          </w:divBdr>
        </w:div>
        <w:div w:id="2034181634">
          <w:marLeft w:val="360"/>
          <w:marRight w:val="0"/>
          <w:marTop w:val="200"/>
          <w:marBottom w:val="0"/>
          <w:divBdr>
            <w:top w:val="none" w:sz="0" w:space="0" w:color="auto"/>
            <w:left w:val="none" w:sz="0" w:space="0" w:color="auto"/>
            <w:bottom w:val="none" w:sz="0" w:space="0" w:color="auto"/>
            <w:right w:val="none" w:sz="0" w:space="0" w:color="auto"/>
          </w:divBdr>
        </w:div>
        <w:div w:id="228613963">
          <w:marLeft w:val="360"/>
          <w:marRight w:val="0"/>
          <w:marTop w:val="200"/>
          <w:marBottom w:val="0"/>
          <w:divBdr>
            <w:top w:val="none" w:sz="0" w:space="0" w:color="auto"/>
            <w:left w:val="none" w:sz="0" w:space="0" w:color="auto"/>
            <w:bottom w:val="none" w:sz="0" w:space="0" w:color="auto"/>
            <w:right w:val="none" w:sz="0" w:space="0" w:color="auto"/>
          </w:divBdr>
        </w:div>
        <w:div w:id="1857964908">
          <w:marLeft w:val="360"/>
          <w:marRight w:val="0"/>
          <w:marTop w:val="200"/>
          <w:marBottom w:val="0"/>
          <w:divBdr>
            <w:top w:val="none" w:sz="0" w:space="0" w:color="auto"/>
            <w:left w:val="none" w:sz="0" w:space="0" w:color="auto"/>
            <w:bottom w:val="none" w:sz="0" w:space="0" w:color="auto"/>
            <w:right w:val="none" w:sz="0" w:space="0" w:color="auto"/>
          </w:divBdr>
        </w:div>
      </w:divsChild>
    </w:div>
    <w:div w:id="528417848">
      <w:bodyDiv w:val="1"/>
      <w:marLeft w:val="0"/>
      <w:marRight w:val="0"/>
      <w:marTop w:val="0"/>
      <w:marBottom w:val="0"/>
      <w:divBdr>
        <w:top w:val="none" w:sz="0" w:space="0" w:color="auto"/>
        <w:left w:val="none" w:sz="0" w:space="0" w:color="auto"/>
        <w:bottom w:val="none" w:sz="0" w:space="0" w:color="auto"/>
        <w:right w:val="none" w:sz="0" w:space="0" w:color="auto"/>
      </w:divBdr>
    </w:div>
    <w:div w:id="545024108">
      <w:bodyDiv w:val="1"/>
      <w:marLeft w:val="0"/>
      <w:marRight w:val="0"/>
      <w:marTop w:val="0"/>
      <w:marBottom w:val="0"/>
      <w:divBdr>
        <w:top w:val="none" w:sz="0" w:space="0" w:color="auto"/>
        <w:left w:val="none" w:sz="0" w:space="0" w:color="auto"/>
        <w:bottom w:val="none" w:sz="0" w:space="0" w:color="auto"/>
        <w:right w:val="none" w:sz="0" w:space="0" w:color="auto"/>
      </w:divBdr>
      <w:divsChild>
        <w:div w:id="1782794685">
          <w:marLeft w:val="0"/>
          <w:marRight w:val="0"/>
          <w:marTop w:val="0"/>
          <w:marBottom w:val="0"/>
          <w:divBdr>
            <w:top w:val="none" w:sz="0" w:space="0" w:color="auto"/>
            <w:left w:val="none" w:sz="0" w:space="0" w:color="auto"/>
            <w:bottom w:val="none" w:sz="0" w:space="0" w:color="auto"/>
            <w:right w:val="none" w:sz="0" w:space="0" w:color="auto"/>
          </w:divBdr>
        </w:div>
        <w:div w:id="1827621929">
          <w:marLeft w:val="0"/>
          <w:marRight w:val="0"/>
          <w:marTop w:val="0"/>
          <w:marBottom w:val="0"/>
          <w:divBdr>
            <w:top w:val="none" w:sz="0" w:space="0" w:color="auto"/>
            <w:left w:val="none" w:sz="0" w:space="0" w:color="auto"/>
            <w:bottom w:val="none" w:sz="0" w:space="0" w:color="auto"/>
            <w:right w:val="none" w:sz="0" w:space="0" w:color="auto"/>
          </w:divBdr>
        </w:div>
        <w:div w:id="1608463818">
          <w:marLeft w:val="0"/>
          <w:marRight w:val="0"/>
          <w:marTop w:val="0"/>
          <w:marBottom w:val="0"/>
          <w:divBdr>
            <w:top w:val="none" w:sz="0" w:space="0" w:color="auto"/>
            <w:left w:val="none" w:sz="0" w:space="0" w:color="auto"/>
            <w:bottom w:val="none" w:sz="0" w:space="0" w:color="auto"/>
            <w:right w:val="none" w:sz="0" w:space="0" w:color="auto"/>
          </w:divBdr>
        </w:div>
      </w:divsChild>
    </w:div>
    <w:div w:id="548305173">
      <w:bodyDiv w:val="1"/>
      <w:marLeft w:val="0"/>
      <w:marRight w:val="0"/>
      <w:marTop w:val="0"/>
      <w:marBottom w:val="0"/>
      <w:divBdr>
        <w:top w:val="none" w:sz="0" w:space="0" w:color="auto"/>
        <w:left w:val="none" w:sz="0" w:space="0" w:color="auto"/>
        <w:bottom w:val="none" w:sz="0" w:space="0" w:color="auto"/>
        <w:right w:val="none" w:sz="0" w:space="0" w:color="auto"/>
      </w:divBdr>
      <w:divsChild>
        <w:div w:id="44061782">
          <w:marLeft w:val="446"/>
          <w:marRight w:val="0"/>
          <w:marTop w:val="60"/>
          <w:marBottom w:val="0"/>
          <w:divBdr>
            <w:top w:val="none" w:sz="0" w:space="0" w:color="auto"/>
            <w:left w:val="none" w:sz="0" w:space="0" w:color="auto"/>
            <w:bottom w:val="none" w:sz="0" w:space="0" w:color="auto"/>
            <w:right w:val="none" w:sz="0" w:space="0" w:color="auto"/>
          </w:divBdr>
        </w:div>
        <w:div w:id="1792481279">
          <w:marLeft w:val="446"/>
          <w:marRight w:val="0"/>
          <w:marTop w:val="60"/>
          <w:marBottom w:val="0"/>
          <w:divBdr>
            <w:top w:val="none" w:sz="0" w:space="0" w:color="auto"/>
            <w:left w:val="none" w:sz="0" w:space="0" w:color="auto"/>
            <w:bottom w:val="none" w:sz="0" w:space="0" w:color="auto"/>
            <w:right w:val="none" w:sz="0" w:space="0" w:color="auto"/>
          </w:divBdr>
        </w:div>
        <w:div w:id="1051270727">
          <w:marLeft w:val="446"/>
          <w:marRight w:val="0"/>
          <w:marTop w:val="60"/>
          <w:marBottom w:val="0"/>
          <w:divBdr>
            <w:top w:val="none" w:sz="0" w:space="0" w:color="auto"/>
            <w:left w:val="none" w:sz="0" w:space="0" w:color="auto"/>
            <w:bottom w:val="none" w:sz="0" w:space="0" w:color="auto"/>
            <w:right w:val="none" w:sz="0" w:space="0" w:color="auto"/>
          </w:divBdr>
        </w:div>
      </w:divsChild>
    </w:div>
    <w:div w:id="562642198">
      <w:bodyDiv w:val="1"/>
      <w:marLeft w:val="0"/>
      <w:marRight w:val="0"/>
      <w:marTop w:val="0"/>
      <w:marBottom w:val="0"/>
      <w:divBdr>
        <w:top w:val="none" w:sz="0" w:space="0" w:color="auto"/>
        <w:left w:val="none" w:sz="0" w:space="0" w:color="auto"/>
        <w:bottom w:val="none" w:sz="0" w:space="0" w:color="auto"/>
        <w:right w:val="none" w:sz="0" w:space="0" w:color="auto"/>
      </w:divBdr>
    </w:div>
    <w:div w:id="686711769">
      <w:bodyDiv w:val="1"/>
      <w:marLeft w:val="0"/>
      <w:marRight w:val="0"/>
      <w:marTop w:val="0"/>
      <w:marBottom w:val="0"/>
      <w:divBdr>
        <w:top w:val="none" w:sz="0" w:space="0" w:color="auto"/>
        <w:left w:val="none" w:sz="0" w:space="0" w:color="auto"/>
        <w:bottom w:val="none" w:sz="0" w:space="0" w:color="auto"/>
        <w:right w:val="none" w:sz="0" w:space="0" w:color="auto"/>
      </w:divBdr>
    </w:div>
    <w:div w:id="731385703">
      <w:bodyDiv w:val="1"/>
      <w:marLeft w:val="0"/>
      <w:marRight w:val="0"/>
      <w:marTop w:val="0"/>
      <w:marBottom w:val="0"/>
      <w:divBdr>
        <w:top w:val="none" w:sz="0" w:space="0" w:color="auto"/>
        <w:left w:val="none" w:sz="0" w:space="0" w:color="auto"/>
        <w:bottom w:val="none" w:sz="0" w:space="0" w:color="auto"/>
        <w:right w:val="none" w:sz="0" w:space="0" w:color="auto"/>
      </w:divBdr>
    </w:div>
    <w:div w:id="777723174">
      <w:bodyDiv w:val="1"/>
      <w:marLeft w:val="0"/>
      <w:marRight w:val="0"/>
      <w:marTop w:val="0"/>
      <w:marBottom w:val="0"/>
      <w:divBdr>
        <w:top w:val="none" w:sz="0" w:space="0" w:color="auto"/>
        <w:left w:val="none" w:sz="0" w:space="0" w:color="auto"/>
        <w:bottom w:val="none" w:sz="0" w:space="0" w:color="auto"/>
        <w:right w:val="none" w:sz="0" w:space="0" w:color="auto"/>
      </w:divBdr>
    </w:div>
    <w:div w:id="78639343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sChild>
        <w:div w:id="1726490731">
          <w:marLeft w:val="0"/>
          <w:marRight w:val="0"/>
          <w:marTop w:val="0"/>
          <w:marBottom w:val="0"/>
          <w:divBdr>
            <w:top w:val="none" w:sz="0" w:space="0" w:color="auto"/>
            <w:left w:val="none" w:sz="0" w:space="0" w:color="auto"/>
            <w:bottom w:val="none" w:sz="0" w:space="0" w:color="auto"/>
            <w:right w:val="none" w:sz="0" w:space="0" w:color="auto"/>
          </w:divBdr>
          <w:divsChild>
            <w:div w:id="92630240">
              <w:marLeft w:val="0"/>
              <w:marRight w:val="0"/>
              <w:marTop w:val="0"/>
              <w:marBottom w:val="0"/>
              <w:divBdr>
                <w:top w:val="none" w:sz="0" w:space="0" w:color="auto"/>
                <w:left w:val="none" w:sz="0" w:space="0" w:color="auto"/>
                <w:bottom w:val="none" w:sz="0" w:space="0" w:color="auto"/>
                <w:right w:val="none" w:sz="0" w:space="0" w:color="auto"/>
              </w:divBdr>
              <w:divsChild>
                <w:div w:id="332993587">
                  <w:marLeft w:val="0"/>
                  <w:marRight w:val="0"/>
                  <w:marTop w:val="0"/>
                  <w:marBottom w:val="0"/>
                  <w:divBdr>
                    <w:top w:val="none" w:sz="0" w:space="0" w:color="auto"/>
                    <w:left w:val="none" w:sz="0" w:space="0" w:color="auto"/>
                    <w:bottom w:val="none" w:sz="0" w:space="0" w:color="auto"/>
                    <w:right w:val="none" w:sz="0" w:space="0" w:color="auto"/>
                  </w:divBdr>
                  <w:divsChild>
                    <w:div w:id="2852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66668">
      <w:bodyDiv w:val="1"/>
      <w:marLeft w:val="0"/>
      <w:marRight w:val="0"/>
      <w:marTop w:val="0"/>
      <w:marBottom w:val="0"/>
      <w:divBdr>
        <w:top w:val="none" w:sz="0" w:space="0" w:color="auto"/>
        <w:left w:val="none" w:sz="0" w:space="0" w:color="auto"/>
        <w:bottom w:val="none" w:sz="0" w:space="0" w:color="auto"/>
        <w:right w:val="none" w:sz="0" w:space="0" w:color="auto"/>
      </w:divBdr>
      <w:divsChild>
        <w:div w:id="882984941">
          <w:marLeft w:val="0"/>
          <w:marRight w:val="0"/>
          <w:marTop w:val="0"/>
          <w:marBottom w:val="0"/>
          <w:divBdr>
            <w:top w:val="single" w:sz="6" w:space="0" w:color="5B616B"/>
            <w:left w:val="single" w:sz="6" w:space="0" w:color="5B616B"/>
            <w:bottom w:val="single" w:sz="6" w:space="0" w:color="5B616B"/>
            <w:right w:val="single" w:sz="6" w:space="0" w:color="5B616B"/>
          </w:divBdr>
        </w:div>
        <w:div w:id="1777407185">
          <w:marLeft w:val="0"/>
          <w:marRight w:val="0"/>
          <w:marTop w:val="0"/>
          <w:marBottom w:val="0"/>
          <w:divBdr>
            <w:top w:val="none" w:sz="0" w:space="0" w:color="auto"/>
            <w:left w:val="none" w:sz="0" w:space="0" w:color="auto"/>
            <w:bottom w:val="none" w:sz="0" w:space="0" w:color="auto"/>
            <w:right w:val="none" w:sz="0" w:space="0" w:color="auto"/>
          </w:divBdr>
          <w:divsChild>
            <w:div w:id="15249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0915">
      <w:bodyDiv w:val="1"/>
      <w:marLeft w:val="0"/>
      <w:marRight w:val="0"/>
      <w:marTop w:val="0"/>
      <w:marBottom w:val="0"/>
      <w:divBdr>
        <w:top w:val="none" w:sz="0" w:space="0" w:color="auto"/>
        <w:left w:val="none" w:sz="0" w:space="0" w:color="auto"/>
        <w:bottom w:val="none" w:sz="0" w:space="0" w:color="auto"/>
        <w:right w:val="none" w:sz="0" w:space="0" w:color="auto"/>
      </w:divBdr>
    </w:div>
    <w:div w:id="967512403">
      <w:bodyDiv w:val="1"/>
      <w:marLeft w:val="0"/>
      <w:marRight w:val="0"/>
      <w:marTop w:val="0"/>
      <w:marBottom w:val="0"/>
      <w:divBdr>
        <w:top w:val="none" w:sz="0" w:space="0" w:color="auto"/>
        <w:left w:val="none" w:sz="0" w:space="0" w:color="auto"/>
        <w:bottom w:val="none" w:sz="0" w:space="0" w:color="auto"/>
        <w:right w:val="none" w:sz="0" w:space="0" w:color="auto"/>
      </w:divBdr>
    </w:div>
    <w:div w:id="1070469442">
      <w:bodyDiv w:val="1"/>
      <w:marLeft w:val="0"/>
      <w:marRight w:val="0"/>
      <w:marTop w:val="0"/>
      <w:marBottom w:val="0"/>
      <w:divBdr>
        <w:top w:val="none" w:sz="0" w:space="0" w:color="auto"/>
        <w:left w:val="none" w:sz="0" w:space="0" w:color="auto"/>
        <w:bottom w:val="none" w:sz="0" w:space="0" w:color="auto"/>
        <w:right w:val="none" w:sz="0" w:space="0" w:color="auto"/>
      </w:divBdr>
    </w:div>
    <w:div w:id="1113551719">
      <w:bodyDiv w:val="1"/>
      <w:marLeft w:val="0"/>
      <w:marRight w:val="0"/>
      <w:marTop w:val="0"/>
      <w:marBottom w:val="0"/>
      <w:divBdr>
        <w:top w:val="none" w:sz="0" w:space="0" w:color="auto"/>
        <w:left w:val="none" w:sz="0" w:space="0" w:color="auto"/>
        <w:bottom w:val="none" w:sz="0" w:space="0" w:color="auto"/>
        <w:right w:val="none" w:sz="0" w:space="0" w:color="auto"/>
      </w:divBdr>
    </w:div>
    <w:div w:id="1173446719">
      <w:bodyDiv w:val="1"/>
      <w:marLeft w:val="0"/>
      <w:marRight w:val="0"/>
      <w:marTop w:val="0"/>
      <w:marBottom w:val="0"/>
      <w:divBdr>
        <w:top w:val="none" w:sz="0" w:space="0" w:color="auto"/>
        <w:left w:val="none" w:sz="0" w:space="0" w:color="auto"/>
        <w:bottom w:val="none" w:sz="0" w:space="0" w:color="auto"/>
        <w:right w:val="none" w:sz="0" w:space="0" w:color="auto"/>
      </w:divBdr>
    </w:div>
    <w:div w:id="1211961527">
      <w:bodyDiv w:val="1"/>
      <w:marLeft w:val="0"/>
      <w:marRight w:val="0"/>
      <w:marTop w:val="0"/>
      <w:marBottom w:val="0"/>
      <w:divBdr>
        <w:top w:val="none" w:sz="0" w:space="0" w:color="auto"/>
        <w:left w:val="none" w:sz="0" w:space="0" w:color="auto"/>
        <w:bottom w:val="none" w:sz="0" w:space="0" w:color="auto"/>
        <w:right w:val="none" w:sz="0" w:space="0" w:color="auto"/>
      </w:divBdr>
      <w:divsChild>
        <w:div w:id="397439686">
          <w:marLeft w:val="0"/>
          <w:marRight w:val="0"/>
          <w:marTop w:val="0"/>
          <w:marBottom w:val="0"/>
          <w:divBdr>
            <w:top w:val="none" w:sz="0" w:space="0" w:color="auto"/>
            <w:left w:val="none" w:sz="0" w:space="0" w:color="auto"/>
            <w:bottom w:val="none" w:sz="0" w:space="0" w:color="auto"/>
            <w:right w:val="none" w:sz="0" w:space="0" w:color="auto"/>
          </w:divBdr>
        </w:div>
      </w:divsChild>
    </w:div>
    <w:div w:id="1279340521">
      <w:bodyDiv w:val="1"/>
      <w:marLeft w:val="0"/>
      <w:marRight w:val="0"/>
      <w:marTop w:val="0"/>
      <w:marBottom w:val="0"/>
      <w:divBdr>
        <w:top w:val="none" w:sz="0" w:space="0" w:color="auto"/>
        <w:left w:val="none" w:sz="0" w:space="0" w:color="auto"/>
        <w:bottom w:val="none" w:sz="0" w:space="0" w:color="auto"/>
        <w:right w:val="none" w:sz="0" w:space="0" w:color="auto"/>
      </w:divBdr>
    </w:div>
    <w:div w:id="1281303206">
      <w:bodyDiv w:val="1"/>
      <w:marLeft w:val="0"/>
      <w:marRight w:val="0"/>
      <w:marTop w:val="0"/>
      <w:marBottom w:val="0"/>
      <w:divBdr>
        <w:top w:val="none" w:sz="0" w:space="0" w:color="auto"/>
        <w:left w:val="none" w:sz="0" w:space="0" w:color="auto"/>
        <w:bottom w:val="none" w:sz="0" w:space="0" w:color="auto"/>
        <w:right w:val="none" w:sz="0" w:space="0" w:color="auto"/>
      </w:divBdr>
      <w:divsChild>
        <w:div w:id="1764379825">
          <w:marLeft w:val="0"/>
          <w:marRight w:val="0"/>
          <w:marTop w:val="0"/>
          <w:marBottom w:val="0"/>
          <w:divBdr>
            <w:top w:val="none" w:sz="0" w:space="0" w:color="auto"/>
            <w:left w:val="none" w:sz="0" w:space="0" w:color="auto"/>
            <w:bottom w:val="none" w:sz="0" w:space="0" w:color="auto"/>
            <w:right w:val="none" w:sz="0" w:space="0" w:color="auto"/>
          </w:divBdr>
          <w:divsChild>
            <w:div w:id="1759211717">
              <w:marLeft w:val="0"/>
              <w:marRight w:val="0"/>
              <w:marTop w:val="0"/>
              <w:marBottom w:val="0"/>
              <w:divBdr>
                <w:top w:val="none" w:sz="0" w:space="0" w:color="auto"/>
                <w:left w:val="none" w:sz="0" w:space="0" w:color="auto"/>
                <w:bottom w:val="none" w:sz="0" w:space="0" w:color="auto"/>
                <w:right w:val="none" w:sz="0" w:space="0" w:color="auto"/>
              </w:divBdr>
              <w:divsChild>
                <w:div w:id="734624149">
                  <w:marLeft w:val="0"/>
                  <w:marRight w:val="0"/>
                  <w:marTop w:val="0"/>
                  <w:marBottom w:val="0"/>
                  <w:divBdr>
                    <w:top w:val="none" w:sz="0" w:space="0" w:color="auto"/>
                    <w:left w:val="none" w:sz="0" w:space="0" w:color="auto"/>
                    <w:bottom w:val="none" w:sz="0" w:space="0" w:color="auto"/>
                    <w:right w:val="none" w:sz="0" w:space="0" w:color="auto"/>
                  </w:divBdr>
                  <w:divsChild>
                    <w:div w:id="2812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60389">
      <w:bodyDiv w:val="1"/>
      <w:marLeft w:val="0"/>
      <w:marRight w:val="0"/>
      <w:marTop w:val="0"/>
      <w:marBottom w:val="0"/>
      <w:divBdr>
        <w:top w:val="none" w:sz="0" w:space="0" w:color="auto"/>
        <w:left w:val="none" w:sz="0" w:space="0" w:color="auto"/>
        <w:bottom w:val="none" w:sz="0" w:space="0" w:color="auto"/>
        <w:right w:val="none" w:sz="0" w:space="0" w:color="auto"/>
      </w:divBdr>
    </w:div>
    <w:div w:id="1357543096">
      <w:bodyDiv w:val="1"/>
      <w:marLeft w:val="0"/>
      <w:marRight w:val="0"/>
      <w:marTop w:val="0"/>
      <w:marBottom w:val="0"/>
      <w:divBdr>
        <w:top w:val="none" w:sz="0" w:space="0" w:color="auto"/>
        <w:left w:val="none" w:sz="0" w:space="0" w:color="auto"/>
        <w:bottom w:val="none" w:sz="0" w:space="0" w:color="auto"/>
        <w:right w:val="none" w:sz="0" w:space="0" w:color="auto"/>
      </w:divBdr>
    </w:div>
    <w:div w:id="1410956152">
      <w:bodyDiv w:val="1"/>
      <w:marLeft w:val="0"/>
      <w:marRight w:val="0"/>
      <w:marTop w:val="0"/>
      <w:marBottom w:val="0"/>
      <w:divBdr>
        <w:top w:val="none" w:sz="0" w:space="0" w:color="auto"/>
        <w:left w:val="none" w:sz="0" w:space="0" w:color="auto"/>
        <w:bottom w:val="none" w:sz="0" w:space="0" w:color="auto"/>
        <w:right w:val="none" w:sz="0" w:space="0" w:color="auto"/>
      </w:divBdr>
    </w:div>
    <w:div w:id="1438983960">
      <w:bodyDiv w:val="1"/>
      <w:marLeft w:val="0"/>
      <w:marRight w:val="0"/>
      <w:marTop w:val="0"/>
      <w:marBottom w:val="0"/>
      <w:divBdr>
        <w:top w:val="none" w:sz="0" w:space="0" w:color="auto"/>
        <w:left w:val="none" w:sz="0" w:space="0" w:color="auto"/>
        <w:bottom w:val="none" w:sz="0" w:space="0" w:color="auto"/>
        <w:right w:val="none" w:sz="0" w:space="0" w:color="auto"/>
      </w:divBdr>
    </w:div>
    <w:div w:id="1466703023">
      <w:bodyDiv w:val="1"/>
      <w:marLeft w:val="0"/>
      <w:marRight w:val="0"/>
      <w:marTop w:val="0"/>
      <w:marBottom w:val="0"/>
      <w:divBdr>
        <w:top w:val="none" w:sz="0" w:space="0" w:color="auto"/>
        <w:left w:val="none" w:sz="0" w:space="0" w:color="auto"/>
        <w:bottom w:val="none" w:sz="0" w:space="0" w:color="auto"/>
        <w:right w:val="none" w:sz="0" w:space="0" w:color="auto"/>
      </w:divBdr>
    </w:div>
    <w:div w:id="1493641808">
      <w:bodyDiv w:val="1"/>
      <w:marLeft w:val="0"/>
      <w:marRight w:val="0"/>
      <w:marTop w:val="0"/>
      <w:marBottom w:val="0"/>
      <w:divBdr>
        <w:top w:val="none" w:sz="0" w:space="0" w:color="auto"/>
        <w:left w:val="none" w:sz="0" w:space="0" w:color="auto"/>
        <w:bottom w:val="none" w:sz="0" w:space="0" w:color="auto"/>
        <w:right w:val="none" w:sz="0" w:space="0" w:color="auto"/>
      </w:divBdr>
    </w:div>
    <w:div w:id="1506552911">
      <w:bodyDiv w:val="1"/>
      <w:marLeft w:val="0"/>
      <w:marRight w:val="0"/>
      <w:marTop w:val="0"/>
      <w:marBottom w:val="0"/>
      <w:divBdr>
        <w:top w:val="none" w:sz="0" w:space="0" w:color="auto"/>
        <w:left w:val="none" w:sz="0" w:space="0" w:color="auto"/>
        <w:bottom w:val="none" w:sz="0" w:space="0" w:color="auto"/>
        <w:right w:val="none" w:sz="0" w:space="0" w:color="auto"/>
      </w:divBdr>
    </w:div>
    <w:div w:id="1576428459">
      <w:bodyDiv w:val="1"/>
      <w:marLeft w:val="0"/>
      <w:marRight w:val="0"/>
      <w:marTop w:val="0"/>
      <w:marBottom w:val="0"/>
      <w:divBdr>
        <w:top w:val="none" w:sz="0" w:space="0" w:color="auto"/>
        <w:left w:val="none" w:sz="0" w:space="0" w:color="auto"/>
        <w:bottom w:val="none" w:sz="0" w:space="0" w:color="auto"/>
        <w:right w:val="none" w:sz="0" w:space="0" w:color="auto"/>
      </w:divBdr>
      <w:divsChild>
        <w:div w:id="1915124583">
          <w:marLeft w:val="0"/>
          <w:marRight w:val="0"/>
          <w:marTop w:val="0"/>
          <w:marBottom w:val="0"/>
          <w:divBdr>
            <w:top w:val="none" w:sz="0" w:space="0" w:color="auto"/>
            <w:left w:val="none" w:sz="0" w:space="0" w:color="auto"/>
            <w:bottom w:val="none" w:sz="0" w:space="0" w:color="auto"/>
            <w:right w:val="none" w:sz="0" w:space="0" w:color="auto"/>
          </w:divBdr>
          <w:divsChild>
            <w:div w:id="15010563">
              <w:marLeft w:val="0"/>
              <w:marRight w:val="0"/>
              <w:marTop w:val="0"/>
              <w:marBottom w:val="0"/>
              <w:divBdr>
                <w:top w:val="none" w:sz="0" w:space="0" w:color="auto"/>
                <w:left w:val="none" w:sz="0" w:space="0" w:color="auto"/>
                <w:bottom w:val="none" w:sz="0" w:space="0" w:color="auto"/>
                <w:right w:val="none" w:sz="0" w:space="0" w:color="auto"/>
              </w:divBdr>
              <w:divsChild>
                <w:div w:id="362294358">
                  <w:marLeft w:val="0"/>
                  <w:marRight w:val="0"/>
                  <w:marTop w:val="0"/>
                  <w:marBottom w:val="0"/>
                  <w:divBdr>
                    <w:top w:val="none" w:sz="0" w:space="0" w:color="auto"/>
                    <w:left w:val="none" w:sz="0" w:space="0" w:color="auto"/>
                    <w:bottom w:val="none" w:sz="0" w:space="0" w:color="auto"/>
                    <w:right w:val="none" w:sz="0" w:space="0" w:color="auto"/>
                  </w:divBdr>
                  <w:divsChild>
                    <w:div w:id="2685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8263">
      <w:bodyDiv w:val="1"/>
      <w:marLeft w:val="0"/>
      <w:marRight w:val="0"/>
      <w:marTop w:val="0"/>
      <w:marBottom w:val="0"/>
      <w:divBdr>
        <w:top w:val="none" w:sz="0" w:space="0" w:color="auto"/>
        <w:left w:val="none" w:sz="0" w:space="0" w:color="auto"/>
        <w:bottom w:val="none" w:sz="0" w:space="0" w:color="auto"/>
        <w:right w:val="none" w:sz="0" w:space="0" w:color="auto"/>
      </w:divBdr>
    </w:div>
    <w:div w:id="1718237045">
      <w:bodyDiv w:val="1"/>
      <w:marLeft w:val="0"/>
      <w:marRight w:val="0"/>
      <w:marTop w:val="0"/>
      <w:marBottom w:val="0"/>
      <w:divBdr>
        <w:top w:val="none" w:sz="0" w:space="0" w:color="auto"/>
        <w:left w:val="none" w:sz="0" w:space="0" w:color="auto"/>
        <w:bottom w:val="none" w:sz="0" w:space="0" w:color="auto"/>
        <w:right w:val="none" w:sz="0" w:space="0" w:color="auto"/>
      </w:divBdr>
    </w:div>
    <w:div w:id="1796829097">
      <w:bodyDiv w:val="1"/>
      <w:marLeft w:val="0"/>
      <w:marRight w:val="0"/>
      <w:marTop w:val="0"/>
      <w:marBottom w:val="0"/>
      <w:divBdr>
        <w:top w:val="none" w:sz="0" w:space="0" w:color="auto"/>
        <w:left w:val="none" w:sz="0" w:space="0" w:color="auto"/>
        <w:bottom w:val="none" w:sz="0" w:space="0" w:color="auto"/>
        <w:right w:val="none" w:sz="0" w:space="0" w:color="auto"/>
      </w:divBdr>
    </w:div>
    <w:div w:id="1880391537">
      <w:bodyDiv w:val="1"/>
      <w:marLeft w:val="0"/>
      <w:marRight w:val="0"/>
      <w:marTop w:val="0"/>
      <w:marBottom w:val="0"/>
      <w:divBdr>
        <w:top w:val="none" w:sz="0" w:space="0" w:color="auto"/>
        <w:left w:val="none" w:sz="0" w:space="0" w:color="auto"/>
        <w:bottom w:val="none" w:sz="0" w:space="0" w:color="auto"/>
        <w:right w:val="none" w:sz="0" w:space="0" w:color="auto"/>
      </w:divBdr>
    </w:div>
    <w:div w:id="1894736787">
      <w:bodyDiv w:val="1"/>
      <w:marLeft w:val="0"/>
      <w:marRight w:val="0"/>
      <w:marTop w:val="0"/>
      <w:marBottom w:val="0"/>
      <w:divBdr>
        <w:top w:val="none" w:sz="0" w:space="0" w:color="auto"/>
        <w:left w:val="none" w:sz="0" w:space="0" w:color="auto"/>
        <w:bottom w:val="none" w:sz="0" w:space="0" w:color="auto"/>
        <w:right w:val="none" w:sz="0" w:space="0" w:color="auto"/>
      </w:divBdr>
    </w:div>
    <w:div w:id="2081752501">
      <w:bodyDiv w:val="1"/>
      <w:marLeft w:val="0"/>
      <w:marRight w:val="0"/>
      <w:marTop w:val="0"/>
      <w:marBottom w:val="0"/>
      <w:divBdr>
        <w:top w:val="none" w:sz="0" w:space="0" w:color="auto"/>
        <w:left w:val="none" w:sz="0" w:space="0" w:color="auto"/>
        <w:bottom w:val="none" w:sz="0" w:space="0" w:color="auto"/>
        <w:right w:val="none" w:sz="0" w:space="0" w:color="auto"/>
      </w:divBdr>
    </w:div>
    <w:div w:id="2106949555">
      <w:bodyDiv w:val="1"/>
      <w:marLeft w:val="0"/>
      <w:marRight w:val="0"/>
      <w:marTop w:val="0"/>
      <w:marBottom w:val="0"/>
      <w:divBdr>
        <w:top w:val="none" w:sz="0" w:space="0" w:color="auto"/>
        <w:left w:val="none" w:sz="0" w:space="0" w:color="auto"/>
        <w:bottom w:val="none" w:sz="0" w:space="0" w:color="auto"/>
        <w:right w:val="none" w:sz="0" w:space="0" w:color="auto"/>
      </w:divBdr>
    </w:div>
    <w:div w:id="2112630141">
      <w:bodyDiv w:val="1"/>
      <w:marLeft w:val="0"/>
      <w:marRight w:val="0"/>
      <w:marTop w:val="0"/>
      <w:marBottom w:val="0"/>
      <w:divBdr>
        <w:top w:val="none" w:sz="0" w:space="0" w:color="auto"/>
        <w:left w:val="none" w:sz="0" w:space="0" w:color="auto"/>
        <w:bottom w:val="none" w:sz="0" w:space="0" w:color="auto"/>
        <w:right w:val="none" w:sz="0" w:space="0" w:color="auto"/>
      </w:divBdr>
      <w:divsChild>
        <w:div w:id="1793548458">
          <w:marLeft w:val="0"/>
          <w:marRight w:val="0"/>
          <w:marTop w:val="0"/>
          <w:marBottom w:val="0"/>
          <w:divBdr>
            <w:top w:val="none" w:sz="0" w:space="0" w:color="auto"/>
            <w:left w:val="none" w:sz="0" w:space="0" w:color="auto"/>
            <w:bottom w:val="none" w:sz="0" w:space="0" w:color="auto"/>
            <w:right w:val="none" w:sz="0" w:space="0" w:color="auto"/>
          </w:divBdr>
          <w:divsChild>
            <w:div w:id="1185558210">
              <w:marLeft w:val="0"/>
              <w:marRight w:val="0"/>
              <w:marTop w:val="0"/>
              <w:marBottom w:val="0"/>
              <w:divBdr>
                <w:top w:val="none" w:sz="0" w:space="0" w:color="auto"/>
                <w:left w:val="none" w:sz="0" w:space="0" w:color="auto"/>
                <w:bottom w:val="none" w:sz="0" w:space="0" w:color="auto"/>
                <w:right w:val="none" w:sz="0" w:space="0" w:color="auto"/>
              </w:divBdr>
              <w:divsChild>
                <w:div w:id="727652495">
                  <w:marLeft w:val="0"/>
                  <w:marRight w:val="0"/>
                  <w:marTop w:val="0"/>
                  <w:marBottom w:val="0"/>
                  <w:divBdr>
                    <w:top w:val="none" w:sz="0" w:space="0" w:color="auto"/>
                    <w:left w:val="none" w:sz="0" w:space="0" w:color="auto"/>
                    <w:bottom w:val="none" w:sz="0" w:space="0" w:color="auto"/>
                    <w:right w:val="none" w:sz="0" w:space="0" w:color="auto"/>
                  </w:divBdr>
                  <w:divsChild>
                    <w:div w:id="20166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31487/j.JICOA.2020.05.05" TargetMode="External"/><Relationship Id="rId4" Type="http://schemas.openxmlformats.org/officeDocument/2006/relationships/settings" Target="settings.xml"/><Relationship Id="rId9" Type="http://schemas.openxmlformats.org/officeDocument/2006/relationships/hyperlink" Target="file:///D:/active%20research/telemedicine/COVID-19/oversight%20group%20evidence/mm6945e2-H%20lavery%20et%20al%20CDC.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clinicaltrials.gov/ct2/show/NCT04335097" TargetMode="External"/><Relationship Id="rId13" Type="http://schemas.openxmlformats.org/officeDocument/2006/relationships/hyperlink" Target="http://dx.doi.org/10.31487/j.JICOA.2020.05.05" TargetMode="External"/><Relationship Id="rId3" Type="http://schemas.openxmlformats.org/officeDocument/2006/relationships/hyperlink" Target="https://blogs.bmj.com/bmj/2020/06/12/identifying-severe-cases-of-covid-19-in-the-community/" TargetMode="External"/><Relationship Id="rId7" Type="http://schemas.openxmlformats.org/officeDocument/2006/relationships/hyperlink" Target="https://clinicaltrials.gov/ct2/show/NCT04425720" TargetMode="External"/><Relationship Id="rId12" Type="http://schemas.openxmlformats.org/officeDocument/2006/relationships/hyperlink" Target="file:///D:/active%20research/telemedicine/COVID-19/oversight%20group%20evidence/mm6945e2-H%20lavery%20et%20al%20CDC.pdf" TargetMode="External"/><Relationship Id="rId2" Type="http://schemas.openxmlformats.org/officeDocument/2006/relationships/hyperlink" Target="https://doi.org/10.1056/NEJMoa2021436" TargetMode="External"/><Relationship Id="rId1" Type="http://schemas.openxmlformats.org/officeDocument/2006/relationships/hyperlink" Target="https://blogs.bmj.com/bmj/2020/05/20/we-need-reliable-data-on-hospital-acquired-covid-19/" TargetMode="External"/><Relationship Id="rId6" Type="http://schemas.openxmlformats.org/officeDocument/2006/relationships/hyperlink" Target="https://doi.org/10.1186/s12931-020-01462-5" TargetMode="External"/><Relationship Id="rId11" Type="http://schemas.openxmlformats.org/officeDocument/2006/relationships/hyperlink" Target="https://blogs.bmj.com/bmj/2020/06/12/identifying-severe-cases-of-covid-19-in-the-community/" TargetMode="External"/><Relationship Id="rId5" Type="http://schemas.openxmlformats.org/officeDocument/2006/relationships/hyperlink" Target="http://www.ncbi.nlm.nih.gov/pmc/articles/pmc7092819/" TargetMode="External"/><Relationship Id="rId10" Type="http://schemas.openxmlformats.org/officeDocument/2006/relationships/hyperlink" Target="https://alama.org.uk/covid-19-medical-risk-assessment/" TargetMode="External"/><Relationship Id="rId4" Type="http://schemas.openxmlformats.org/officeDocument/2006/relationships/hyperlink" Target="https://doi.org/10.1056/nejmoa2002032" TargetMode="External"/><Relationship Id="rId9" Type="http://schemas.openxmlformats.org/officeDocument/2006/relationships/hyperlink" Target="https://www.england.nhs.uk/coronavirus/wp-content/uploads/sites/52/2020/06/C0445-remote-monitoring-in-primary-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D75A7-EC79-304E-AB94-6316F1C3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4938</Words>
  <Characters>28149</Characters>
  <Application>Microsoft Office Word</Application>
  <DocSecurity>4</DocSecurity>
  <Lines>234</Lines>
  <Paragraphs>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Background</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McKinstry</dc:creator>
  <cp:keywords/>
  <dc:description/>
  <cp:lastModifiedBy>MCKINSTRY Brian</cp:lastModifiedBy>
  <cp:revision>2</cp:revision>
  <dcterms:created xsi:type="dcterms:W3CDTF">2022-01-14T10:50:00Z</dcterms:created>
  <dcterms:modified xsi:type="dcterms:W3CDTF">2022-01-14T10:50:00Z</dcterms:modified>
</cp:coreProperties>
</file>